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KES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14 patches across 1 KES endpoints — 14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5F6FA"/>
            <w:tcBorders>
              <w:top w:val="single" w:sz="12" w:color="1EAAC8"/>
              <w:left w:val="single" w:sz="12" w:color="1EAAC8"/>
              <w:bottom w:val="single" w:sz="12" w:color="1EAAC8"/>
              <w:right w:val="single" w:sz="12" w:color="1EAAC8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Patches for KES are deployed on-demand by Technijian rather than on a recurring automated schedule. See the Automated Patch Deployments section for the patches applied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KES-MarkW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35.7%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14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microsoftedgeenterprise_146.0.3856.72_x64.msi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aspnetcore-runtime-8.0.25-win-x64.exe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4da11e7c-5323-4742-9890-5b346baa0ad7_de46eeb2ee263130db37e7614102ba59a47e0ca2_INTELAUDIO__FUNC_01_VEN_10EC_DEV_0236.cab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windowsdesktop-runtime-8.0.24-win-x64.exe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aspnetcore-runtime-8.0.24-win-x64.exe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Office365_installer_19725.20126_currentx64.exe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14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5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Move to an automated patch schedule: </w:t>
      </w:r>
      <w:r>
        <w:rPr>
          <w:rFonts w:ascii="Open Sans" w:hAnsi="Open Sans"/>
          <w:b w:val="0"/>
          <w:i w:val="0"/>
          <w:color w:val="59595B"/>
          <w:sz w:val="22"/>
        </w:rPr>
        <w:t>your endpoints are currently patched on-demand. Moving to a recurring weekly window (typical: Friday/Saturday evenings) would shrink the time-to-patch on critical vulnerabilities and reduce the manual coordination needed each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'KES'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