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SGC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33 patches across 2 SGC endpoints — 33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SGC's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SGC Patch Deployment 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SGC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Spellbound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Carol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35.3%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5.9%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52.9%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Bluebeam Software Inc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31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AcrobatDCx64Upd2600121346.msp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AcrobatDCx64Upd2500121265.msp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windows11.0-kb5079391-x64-25H2_win11.msu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MicrosoftEdgeWebView2RuntimeInstallerX64_146.0.3856.84.exe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MicrosoftEdgeWebView2RuntimeInstallerX64_146.0.3856.78.exe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windows11.0-kb5085516-x64-25H2_win11.msu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Setup_149.0_x64.exe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windowsdesktop-runtime-9.0.14-win-x64.exe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Setup_148.0.2_x64.exe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BbRevu_21.9.exe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Office365_installer_19725.20152B_currentx64.exe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windowsdesktop-runtime-8.0.24-win-x64.exe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windowsdesktop-runtime-9.0.13-win-x64.exe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Office365_installer_19725.20152_currentx64.exe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33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2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4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9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'SGC'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