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0" w:after="0"/>
            </w:pPr>
            <w:r>
              <w:rPr>
                <w:sz w:val="12"/>
              </w:rPr>
            </w:r>
          </w:p>
        </w:tc>
      </w:tr>
    </w:tbl>
    <w:p/>
    <w:p/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743200" cy="5715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echnijian-logo-full-color-600x125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743200" cy="571500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/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528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2160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  <w:shd w:val="clear" w:color="auto" w:fill="F67D4B"/>
          </w:tcPr>
          <w:p>
            <w:pPr>
              <w:spacing w:before="0" w:after="0"/>
            </w:pPr>
            <w:r>
              <w:rPr>
                <w:sz w:val="6"/>
              </w:rPr>
            </w:r>
          </w:p>
        </w:tc>
        <w:tc>
          <w:tcPr>
            <w:tcW w:type="dxa" w:w="3528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</w:tr>
    </w:tbl>
    <w:p/>
    <w:p>
      <w:pPr>
        <w:jc w:val="center"/>
      </w:pPr>
      <w:r>
        <w:rPr>
          <w:rFonts w:ascii="Open Sans" w:hAnsi="Open Sans"/>
          <w:b/>
          <w:i w:val="0"/>
          <w:color w:val="1A1A2E"/>
          <w:sz w:val="56"/>
        </w:rPr>
        <w:t>Patch Management Activity</w:t>
      </w:r>
    </w:p>
    <w:p>
      <w:pPr>
        <w:spacing w:after="120"/>
        <w:jc w:val="center"/>
      </w:pPr>
      <w:r>
        <w:rPr>
          <w:rFonts w:ascii="Open Sans" w:hAnsi="Open Sans"/>
          <w:b w:val="0"/>
          <w:i w:val="0"/>
          <w:color w:val="59595B"/>
          <w:sz w:val="32"/>
        </w:rPr>
        <w:t>TALY — March 2026</w:t>
      </w:r>
    </w:p>
    <w:p>
      <w:pPr>
        <w:jc w:val="center"/>
      </w:pPr>
      <w:r>
        <w:rPr>
          <w:rFonts w:ascii="Open Sans" w:hAnsi="Open Sans"/>
          <w:b w:val="0"/>
          <w:i w:val="0"/>
          <w:color w:val="59595B"/>
          <w:sz w:val="24"/>
        </w:rPr>
        <w:t>Generated 2026-05-02</w:t>
      </w:r>
    </w:p>
    <w:p/>
    <w:p/>
    <w:p/>
    <w:p/>
    <w:p/>
    <w:p/>
    <w:tbl>
      <w:tblPr>
        <w:tblW w:type="auto" w:w="0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F67D4B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0" w:after="0"/>
            </w:pPr>
            <w:r>
              <w:rPr>
                <w:sz w:val="12"/>
              </w:rPr>
            </w:r>
          </w:p>
        </w:tc>
      </w:tr>
    </w:tbl>
    <w:p>
      <w:pPr>
        <w:spacing w:before="160"/>
        <w:jc w:val="center"/>
      </w:pPr>
      <w:r>
        <w:rPr>
          <w:rFonts w:ascii="Open Sans" w:hAnsi="Open Sans"/>
          <w:b w:val="0"/>
          <w:i/>
          <w:color w:val="59595B"/>
          <w:sz w:val="18"/>
        </w:rPr>
        <w:t>CONFIDENTIAL — for internal Technijian and client use only.</w:t>
      </w:r>
    </w:p>
    <w:p>
      <w:r>
        <w:br w:type="page"/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Executive Summary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006DB6"/>
                <w:sz w:val="48"/>
              </w:rPr>
              <w:t>5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Patches deployed</w:t>
            </w:r>
          </w:p>
        </w:tc>
        <w:tc>
          <w:tcPr>
            <w:tcW w:type="dxa" w:w="2340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1EAAC8"/>
                <w:sz w:val="48"/>
              </w:rPr>
              <w:t>2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Machines patched</w:t>
            </w:r>
          </w:p>
        </w:tc>
        <w:tc>
          <w:tcPr>
            <w:tcW w:type="dxa" w:w="2340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F67D4B"/>
                <w:sz w:val="48"/>
              </w:rPr>
              <w:t>0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Critical patches deployed</w:t>
            </w:r>
          </w:p>
        </w:tc>
        <w:tc>
          <w:tcPr>
            <w:tcW w:type="dxa" w:w="2340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28A745"/>
                <w:sz w:val="48"/>
              </w:rPr>
              <w:t>0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Hands-on remediations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During March 2026, Technijian deployed 5 patches across 2 TALY endpoints — 5 via the automated patch pipeline and 0 delivered hands-on by Technijian's tech team. 0 of those addressed Critical-severity vulnerabilities. The automated patch infrastructure ran on schedule, and any endpoints that needed extra attention were picked up by our techs and installed manually within the same window.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Patch Window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TALY's Automated Patch Deployment (APD) tasks in Endpoint Central are configured as follows. Times are in the deployment template's configured timezone.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560"/>
        <w:gridCol w:w="1560"/>
        <w:gridCol w:w="1560"/>
        <w:gridCol w:w="1560"/>
        <w:gridCol w:w="1560"/>
        <w:gridCol w:w="1560"/>
      </w:tblGrid>
      <w:tr>
        <w:tc>
          <w:tcPr>
            <w:tcW w:type="dxa" w:w="1872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Task</w:t>
            </w:r>
          </w:p>
        </w:tc>
        <w:tc>
          <w:tcPr>
            <w:tcW w:type="dxa" w:w="1152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Status</w:t>
            </w:r>
          </w:p>
        </w:tc>
        <w:tc>
          <w:tcPr>
            <w:tcW w:type="dxa" w:w="2304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Template</w:t>
            </w:r>
          </w:p>
        </w:tc>
        <w:tc>
          <w:tcPr>
            <w:tcW w:type="dxa" w:w="1584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Window</w:t>
            </w:r>
          </w:p>
        </w:tc>
        <w:tc>
          <w:tcPr>
            <w:tcW w:type="dxa" w:w="144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Days</w:t>
            </w:r>
          </w:p>
        </w:tc>
        <w:tc>
          <w:tcPr>
            <w:tcW w:type="dxa" w:w="1008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Weeks</w:t>
            </w:r>
          </w:p>
        </w:tc>
      </w:tr>
      <w:tr>
        <w:tc>
          <w:tcPr>
            <w:tcW w:type="dxa" w:w="187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TALY Patch Management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RUNNING</w:t>
            </w:r>
          </w:p>
        </w:tc>
        <w:tc>
          <w:tcPr>
            <w:tcW w:type="dxa" w:w="2304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TALY Patch Management</w:t>
            </w:r>
          </w:p>
        </w:tc>
        <w:tc>
          <w:tcPr>
            <w:tcW w:type="dxa" w:w="1584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20:00 – 02:00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Fri, Sat</w:t>
            </w:r>
          </w:p>
        </w:tc>
        <w:tc>
          <w:tcPr>
            <w:tcW w:type="dxa" w:w="100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every week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Per-Machine Summary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288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Machine</w:t>
            </w:r>
          </w:p>
        </w:tc>
        <w:tc>
          <w:tcPr>
            <w:tcW w:type="dxa" w:w="144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Total Installed</w:t>
            </w:r>
          </w:p>
        </w:tc>
        <w:tc>
          <w:tcPr>
            <w:tcW w:type="dxa" w:w="144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Succeeded</w:t>
            </w:r>
          </w:p>
        </w:tc>
        <w:tc>
          <w:tcPr>
            <w:tcW w:type="dxa" w:w="1152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Errored</w:t>
            </w:r>
          </w:p>
        </w:tc>
        <w:tc>
          <w:tcPr>
            <w:tcW w:type="dxa" w:w="216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Status</w:t>
            </w:r>
          </w:p>
        </w:tc>
      </w:tr>
      <w:tr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WIN-3V0EKA0U8E8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4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4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  <w:tr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TALY-HQ-WINEDGE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  <w:tc>
          <w:tcPr>
            <w:tcW w:type="dxa" w:w="115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Severity Breakdown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288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Severity</w:t>
            </w:r>
          </w:p>
        </w:tc>
        <w:tc>
          <w:tcPr>
            <w:tcW w:type="dxa" w:w="288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Patches Installed</w:t>
            </w:r>
          </w:p>
        </w:tc>
        <w:tc>
          <w:tcPr>
            <w:tcW w:type="dxa" w:w="288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% of total</w:t>
            </w:r>
          </w:p>
        </w:tc>
      </w:tr>
      <w:tr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Critical</w:t>
            </w:r>
          </w:p>
        </w:tc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0.0%</w:t>
            </w:r>
          </w:p>
        </w:tc>
      </w:tr>
      <w:tr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Important</w:t>
            </w:r>
          </w:p>
        </w:tc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4</w:t>
            </w:r>
          </w:p>
        </w:tc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80.0%</w:t>
            </w:r>
          </w:p>
        </w:tc>
      </w:tr>
      <w:tr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Moderate</w:t>
            </w:r>
          </w:p>
        </w:tc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20.0%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Vendor Breakdown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60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Vendor</w:t>
            </w:r>
          </w:p>
        </w:tc>
        <w:tc>
          <w:tcPr>
            <w:tcW w:type="dxa" w:w="2448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Patches Installed</w:t>
            </w:r>
          </w:p>
        </w:tc>
        <w:tc>
          <w:tcPr>
            <w:tcW w:type="dxa" w:w="2448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% of total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Cisco Systems, Inc.</w:t>
            </w:r>
          </w:p>
        </w:tc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</w:t>
            </w:r>
          </w:p>
        </w:tc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40.0%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Splashtop Inc.</w:t>
            </w:r>
          </w:p>
        </w:tc>
        <w:tc>
          <w:tcPr>
            <w:tcW w:type="dxa" w:w="244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  <w:tc>
          <w:tcPr>
            <w:tcW w:type="dxa" w:w="244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20.0%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DYMO</w:t>
            </w:r>
          </w:p>
        </w:tc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20.0%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Microsoft</w:t>
            </w:r>
          </w:p>
        </w:tc>
        <w:tc>
          <w:tcPr>
            <w:tcW w:type="dxa" w:w="244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  <w:tc>
          <w:tcPr>
            <w:tcW w:type="dxa" w:w="244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20.0%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Automated Patch Deployments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4 unique patches were deployed this month by the automated patch pipeline, ranked by number of endpoints that received each patch.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720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Patch</w:t>
            </w:r>
          </w:p>
        </w:tc>
        <w:tc>
          <w:tcPr>
            <w:tcW w:type="dxa" w:w="216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Endpoints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cisco-secure-client-win-5.1.15.287-core-vpn-predeploy-k9.msi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</w:t>
            </w:r>
          </w:p>
        </w:tc>
      </w:tr>
      <w:tr>
        <w:tc>
          <w:tcPr>
            <w:tcW w:type="dxa" w:w="72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Splashtop_Streamer_Win_INSTALLER_v3.8.0.4.exe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DCDSetup1.6.0.36-X64.exe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</w:tr>
      <w:tr>
        <w:tc>
          <w:tcPr>
            <w:tcW w:type="dxa" w:w="72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windowsdesktop-runtime-8.0.25-win-x64.exe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Manual Installations by Technijian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E9F7EE"/>
            <w:tcBorders>
              <w:top w:val="single" w:sz="12" w:color="28A745"/>
              <w:left w:val="single" w:sz="12" w:color="28A745"/>
              <w:bottom w:val="single" w:sz="12" w:color="28A745"/>
              <w:right w:val="single" w:sz="12" w:color="28A745"/>
            </w:tcBorders>
          </w:tcPr>
          <w:p>
            <w:pPr>
              <w:spacing w:before="120" w:after="120"/>
            </w:pPr>
            <w:r>
              <w:rPr>
                <w:rFonts w:ascii="Open Sans" w:hAnsi="Open Sans"/>
                <w:b w:val="0"/>
                <w:i w:val="0"/>
                <w:color w:val="1A1A2E"/>
                <w:sz w:val="22"/>
              </w:rPr>
              <w:t>All scheduled patches were deployed cleanly by the automated pipeline — no hands-on installation by Technijian's tech team was required this month.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What Technijian Did For You</w:t>
            </w:r>
          </w:p>
        </w:tc>
      </w:tr>
    </w:tbl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Deployed 5 security and feature patches </w:t>
      </w:r>
      <w:r>
        <w:rPr>
          <w:rFonts w:ascii="Open Sans" w:hAnsi="Open Sans"/>
          <w:b w:val="0"/>
          <w:i w:val="0"/>
          <w:color w:val="59595B"/>
          <w:sz w:val="22"/>
        </w:rPr>
        <w:t>across 2 of your endpoints during March 2026, keeping your fleet aligned with vendor security baselines.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Closed 4 Important-severity vulnerabilities </w:t>
      </w:r>
      <w:r>
        <w:rPr>
          <w:rFonts w:ascii="Open Sans" w:hAnsi="Open Sans"/>
          <w:b w:val="0"/>
          <w:i w:val="0"/>
          <w:color w:val="59595B"/>
          <w:sz w:val="22"/>
        </w:rPr>
        <w:t>as part of the same deployment cycle.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Coordinated patches across 4 different software vendors </w:t>
      </w:r>
      <w:r>
        <w:rPr>
          <w:rFonts w:ascii="Open Sans" w:hAnsi="Open Sans"/>
          <w:b w:val="0"/>
          <w:i w:val="0"/>
          <w:color w:val="59595B"/>
          <w:sz w:val="22"/>
        </w:rPr>
        <w:t>(Microsoft, Adobe, browser makers, and others) so your team doesn't have to track each vendor's release calendar.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Maintained the scheduled patch window: </w:t>
      </w:r>
      <w:r>
        <w:rPr>
          <w:rFonts w:ascii="Open Sans" w:hAnsi="Open Sans"/>
          <w:b w:val="0"/>
          <w:i w:val="0"/>
          <w:color w:val="59595B"/>
          <w:sz w:val="22"/>
        </w:rPr>
        <w:t>20:00-02:00 on Fri,Sat (every week). Endpoints powered on during the window received their patches with no user interaction required.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Monitored the patch infrastructure 24×7: </w:t>
      </w:r>
      <w:r>
        <w:rPr>
          <w:rFonts w:ascii="Open Sans" w:hAnsi="Open Sans"/>
          <w:b w:val="0"/>
          <w:i w:val="0"/>
          <w:color w:val="59595B"/>
          <w:sz w:val="22"/>
        </w:rPr>
        <w:t>patch scan health, deployment status, distribution server connectivity, and endpoint check-in were all under continuous monitoring throughout the month.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Recommendations</w:t>
            </w:r>
          </w:p>
        </w:tc>
      </w:tr>
    </w:tbl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Stay the course: </w:t>
      </w:r>
      <w:r>
        <w:rPr>
          <w:rFonts w:ascii="Open Sans" w:hAnsi="Open Sans"/>
          <w:b w:val="0"/>
          <w:i w:val="0"/>
          <w:color w:val="59595B"/>
          <w:sz w:val="22"/>
        </w:rPr>
        <w:t>your patch deployment infrastructure is healthy, the schedule is being honored, and endpoint coverage is complete. No action items this month.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About This Report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This report is generated automatically from Technijian's ManageEngine Endpoint Central MSP server (myrmm.technijian.com) by the annual-client-review pipeline. Every figure is sourced live from the EC SQL backend at report-generation time; no manual data entry is involved.</w:t>
      </w:r>
    </w:p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Report generated 2026-05-02 18:08 for client 'TALY' covering March 2026 (installations between the 1st and last day of the month, UTC).</w:t>
      </w:r>
    </w:p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For questions about any item in this report, or to request a different reporting cadence, email support@technijian.com.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296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Open Sans" w:hAnsi="Open Sans"/>
        <w:b w:val="0"/>
        <w:i w:val="0"/>
        <w:color w:val="59595B"/>
        <w:sz w:val="18"/>
      </w:rPr>
      <w:t>Technijian  |  18 Technology Dr., Ste 141, Irvine, CA 92618  |  949.379.8500  |  technijian.com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drawing>
        <wp:inline xmlns:a="http://schemas.openxmlformats.org/drawingml/2006/main" xmlns:pic="http://schemas.openxmlformats.org/drawingml/2006/picture">
          <wp:extent cx="1554480" cy="323850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technijian-logo-full-color-600x125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1554480" cy="323850"/>
                  </a:xfrm>
                  <a:prstGeom prst="rect"/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Open Sans" w:hAnsi="Open Sans"/>
      <w:color w:val="59595B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