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 Bank Law</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 Bank Law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