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744"/>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744"/>
            <w:tcBorders>
              <w:top w:val="nil"/>
              <w:left w:val="nil"/>
              <w:bottom w:val="nil"/>
              <w:right w:val="nil"/>
              <w:insideH w:val="nil"/>
              <w:insideV w:val="nil"/>
            </w:tcBorders>
          </w:tcPr>
          <w:p/>
        </w:tc>
      </w:tr>
    </w:tbl>
    <w:p/>
    <w:p>
      <w:pPr>
        <w:jc w:val="center"/>
      </w:pPr>
      <w:r>
        <w:rPr>
          <w:rFonts w:ascii="Open Sans" w:hAnsi="Open Sans"/>
          <w:b/>
          <w:i w:val="0"/>
          <w:color w:val="1A1A2E"/>
          <w:sz w:val="56"/>
        </w:rPr>
        <w:t>Cybersecurity Activity Report</w:t>
      </w:r>
    </w:p>
    <w:p>
      <w:pPr>
        <w:spacing w:after="120"/>
        <w:jc w:val="center"/>
      </w:pPr>
      <w:r>
        <w:rPr>
          <w:rFonts w:ascii="Open Sans" w:hAnsi="Open Sans"/>
          <w:b w:val="0"/>
          <w:i w:val="0"/>
          <w:color w:val="59595B"/>
          <w:sz w:val="32"/>
        </w:rPr>
        <w:t>Chris Bank Law</w:t>
      </w:r>
    </w:p>
    <w:p>
      <w:pPr>
        <w:jc w:val="center"/>
      </w:pPr>
      <w:r>
        <w:rPr>
          <w:rFonts w:ascii="Open Sans" w:hAnsi="Open Sans"/>
          <w:b w:val="0"/>
          <w:i w:val="0"/>
          <w:color w:val="59595B"/>
          <w:sz w:val="24"/>
        </w:rPr>
        <w:t>March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Chris Bank Law during March 2026. The Huntress managed detection and response (MDR) platform monitored your endpoints 24x7 and Technijian's security operations team reviewed every alert that fired. Below is a plain-English summary of what we saw,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2</w:t>
            </w:r>
          </w:p>
          <w:p>
            <w:pPr>
              <w:spacing w:before="0" w:after="240"/>
              <w:jc w:val="center"/>
            </w:pPr>
            <w:r>
              <w:rPr>
                <w:rFonts w:ascii="Open Sans" w:hAnsi="Open Sans"/>
                <w:b w:val="0"/>
                <w:i w:val="0"/>
                <w:color w:val="59595B"/>
                <w:sz w:val="20"/>
              </w:rPr>
              <w:t>Endpoints Protected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28A745"/>
                <w:sz w:val="48"/>
              </w:rPr>
              <w:t>1</w:t>
            </w:r>
          </w:p>
          <w:p>
            <w:pPr>
              <w:spacing w:before="0" w:after="240"/>
              <w:jc w:val="center"/>
            </w:pPr>
            <w:r>
              <w:rPr>
                <w:rFonts w:ascii="Open Sans" w:hAnsi="Open Sans"/>
                <w:b w:val="0"/>
                <w:i w:val="0"/>
                <w:color w:val="59595B"/>
                <w:sz w:val="20"/>
              </w:rPr>
              <w:t>Active in Last 7 Days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0</w:t>
            </w:r>
          </w:p>
          <w:p>
            <w:pPr>
              <w:spacing w:before="0" w:after="240"/>
              <w:jc w:val="center"/>
            </w:pPr>
            <w:r>
              <w:rPr>
                <w:rFonts w:ascii="Open Sans" w:hAnsi="Open Sans"/>
                <w:b w:val="0"/>
                <w:i w:val="0"/>
                <w:color w:val="59595B"/>
                <w:sz w:val="20"/>
              </w:rPr>
              <w:t>Incidents Investigated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0</w:t>
            </w:r>
          </w:p>
          <w:p>
            <w:pPr>
              <w:spacing w:before="0" w:after="240"/>
              <w:jc w:val="center"/>
            </w:pPr>
            <w:r>
              <w:rPr>
                <w:rFonts w:ascii="Open Sans" w:hAnsi="Open Sans"/>
                <w:b w:val="0"/>
                <w:i w:val="0"/>
                <w:color w:val="59595B"/>
                <w:sz w:val="20"/>
              </w:rPr>
              <w:t>Signals Reviewed</w:t>
            </w:r>
          </w:p>
        </w:tc>
      </w:tr>
    </w:tbl>
    <w:tbl>
      <w:tblPr>
        <w:tblW w:type="auto" w:w="0"/>
        <w:tblLook w:firstColumn="1" w:firstRow="1" w:lastColumn="0" w:lastRow="0" w:noHBand="0" w:noVBand="1" w:val="04A0"/>
      </w:tblPr>
      <w:tblGrid>
        <w:gridCol w:w="9360"/>
      </w:tblGrid>
      <w:tr>
        <w:tc>
          <w:tcPr>
            <w:tcW w:type="dxa" w:w="9360"/>
            <w:shd w:val="clear" w:color="auto" w:fill="FEF3EE"/>
            <w:tcBorders>
              <w:top w:val="single" w:sz="12" w:color="F67D4B"/>
              <w:left w:val="single" w:sz="12" w:color="F67D4B"/>
              <w:bottom w:val="single" w:sz="12" w:color="F67D4B"/>
              <w:right w:val="single" w:sz="12" w:color="F67D4B"/>
            </w:tcBorders>
          </w:tcPr>
          <w:p>
            <w:pPr>
              <w:spacing w:before="120" w:after="120"/>
            </w:pPr>
            <w:r>
              <w:rPr>
                <w:rFonts w:ascii="Open Sans" w:hAnsi="Open Sans"/>
                <w:b w:val="0"/>
                <w:i w:val="0"/>
                <w:color w:val="1A1A2E"/>
                <w:sz w:val="22"/>
              </w:rPr>
              <w:t>Attention items: 1 endpoint(s) with Microsoft Defender or firewall in a non-protected state. See Recommendations section below for the remediation list.</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Endpoint Protection</w:t>
            </w:r>
          </w:p>
        </w:tc>
      </w:tr>
    </w:tbl>
    <w:p>
      <w:pPr>
        <w:spacing w:after="160"/>
      </w:pPr>
      <w:r>
        <w:rPr>
          <w:rFonts w:ascii="Open Sans" w:hAnsi="Open Sans"/>
          <w:b w:val="0"/>
          <w:i w:val="0"/>
          <w:color w:val="59595B"/>
          <w:sz w:val="22"/>
        </w:rPr>
        <w:t>Every protected computer reports back to Huntress on a regular interval. The breakdown below shows which endpoints have been phoning home, how recently, and the state of their built-in defenses (Microsoft Defender + Windows Firewall).</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Metric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Total endpoints under management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24 hours</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Phoned home in the last 7 days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Stale (8 - 30 days since last check-in)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Inactive (more than 30 days since last check-in)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Never seen by the platform</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0</w:t>
            </w:r>
          </w:p>
        </w:tc>
      </w:tr>
    </w:tbl>
    <w:p/>
    <w:p>
      <w:pPr>
        <w:spacing w:after="160"/>
      </w:pPr>
      <w:r>
        <w:rPr>
          <w:rFonts w:ascii="Open Sans" w:hAnsi="Open Sans"/>
          <w:b/>
          <w:i w:val="0"/>
          <w:color w:val="1A1A2E"/>
          <w:sz w:val="24"/>
        </w:rPr>
        <w:t>Operating system distribution</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Operating System</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Home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Windows 11 Pro</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Microsoft Defender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bl>
    <w:p/>
    <w:p>
      <w:pPr>
        <w:spacing w:after="160"/>
      </w:pPr>
      <w:r>
        <w:rPr>
          <w:rFonts w:ascii="Open Sans" w:hAnsi="Open Sans"/>
          <w:b/>
          <w:i w:val="0"/>
          <w:color w:val="1A1A2E"/>
          <w:sz w:val="24"/>
        </w:rPr>
        <w:t>Windows Firewall posture</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 Status</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Endpoints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28A745"/>
                <w:sz w:val="19"/>
              </w:rPr>
              <w:t>Enabled</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CC0000"/>
                <w:sz w:val="19"/>
              </w:rPr>
              <w:t>Disabled</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No incident reports or active signals were raised against your environment during March 2026. Continuous monitoring stayed in place the entire period — a quiet month means our platform did not detect actor activity that needed a response.</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Every endpoint was monitored 24x7 by the Huntress sensor. 1 of 2 agent(s) reported in within the last 7 days.</w:t>
      </w:r>
    </w:p>
    <w:p>
      <w:pPr>
        <w:pStyle w:val="ListBullet"/>
        <w:spacing w:after="80"/>
      </w:pPr>
      <w:r>
        <w:rPr>
          <w:rFonts w:ascii="Open Sans" w:hAnsi="Open Sans"/>
          <w:b/>
          <w:i w:val="0"/>
          <w:color w:val="1A1A2E"/>
          <w:sz w:val="22"/>
        </w:rPr>
        <w:t xml:space="preserve">Alert review. </w:t>
      </w:r>
      <w:r>
        <w:rPr>
          <w:rFonts w:ascii="Open Sans" w:hAnsi="Open Sans"/>
          <w:b w:val="0"/>
          <w:i w:val="0"/>
          <w:color w:val="59595B"/>
          <w:sz w:val="22"/>
        </w:rPr>
        <w:t>Our security operations team triaged 0 signal(s) and actioned 0 incident report(s) raised this month.</w:t>
      </w:r>
    </w:p>
    <w:p>
      <w:pPr>
        <w:pStyle w:val="ListBullet"/>
        <w:spacing w:after="80"/>
      </w:pPr>
      <w:r>
        <w:rPr>
          <w:rFonts w:ascii="Open Sans" w:hAnsi="Open Sans"/>
          <w:b/>
          <w:i w:val="0"/>
          <w:color w:val="1A1A2E"/>
          <w:sz w:val="22"/>
        </w:rPr>
        <w:t xml:space="preserve">Reports &amp; posture review. </w:t>
      </w:r>
      <w:r>
        <w:rPr>
          <w:rFonts w:ascii="Open Sans" w:hAnsi="Open Sans"/>
          <w:b w:val="0"/>
          <w:i w:val="0"/>
          <w:color w:val="59595B"/>
          <w:sz w:val="22"/>
        </w:rPr>
        <w:t>5 platform-generated security report(s) overlapped this month and were reviewed for trends and emerging risks.</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Microsoft Defender state, Windows Firewall state, agent version, and last-callback timestamp were captured for every endpoint to drive remediation discussions.</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
      <w:pPr>
        <w:spacing w:after="160"/>
      </w:pPr>
      <w:r>
        <w:rPr>
          <w:rFonts w:ascii="Open Sans" w:hAnsi="Open Sans"/>
          <w:b/>
          <w:i w:val="0"/>
          <w:color w:val="1A1A2E"/>
          <w:sz w:val="24"/>
        </w:rPr>
        <w:t>Endpoints with Defender or firewall issues</w:t>
      </w:r>
    </w:p>
    <w:tbl>
      <w:tblPr>
        <w:tblW w:type="auto" w:w="0"/>
        <w:tblLayout w:type="fixed"/>
        <w:tblLook w:firstColumn="1" w:firstRow="1" w:lastColumn="0" w:lastRow="0" w:noHBand="0" w:noVBand="1" w:val="04A0"/>
      </w:tblPr>
      <w:tblGrid>
        <w:gridCol w:w="2340"/>
        <w:gridCol w:w="2340"/>
        <w:gridCol w:w="2340"/>
        <w:gridCol w:w="2340"/>
      </w:tblGrid>
      <w:tr>
        <w:tc>
          <w:tcPr>
            <w:tcW w:type="dxa" w:w="288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Status</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Defender Policy</w:t>
            </w:r>
          </w:p>
        </w:tc>
        <w:tc>
          <w:tcPr>
            <w:tcW w:type="dxa" w:w="187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Firewall</w:t>
            </w:r>
          </w:p>
        </w:tc>
      </w:tr>
      <w:tr>
        <w:tc>
          <w:tcPr>
            <w:tcW w:type="dxa" w:w="288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CLBShedPC</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Unmanaged</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Non Compliant</w:t>
            </w:r>
          </w:p>
        </w:tc>
        <w:tc>
          <w:tcPr>
            <w:tcW w:type="dxa" w:w="187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Disabled</w:t>
            </w:r>
          </w:p>
        </w:tc>
      </w:tr>
    </w:tbl>
    <w:p>
      <w:pPr>
        <w:spacing w:after="160"/>
      </w:pPr>
      <w:r>
        <w:rPr>
          <w:rFonts w:ascii="Open Sans" w:hAnsi="Open Sans"/>
          <w:b w:val="0"/>
          <w:i w:val="0"/>
          <w:color w:val="59595B"/>
          <w:sz w:val="22"/>
        </w:rPr>
        <w:t>Recommended action: review the listed endpoints with your Technijian contact to schedule remediation. Common fixes include re-enabling Microsoft Defender, applying a missing Group Policy / Intune setting, or re-enabling Windows Firewall.</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provides 24x7 managed detection and response (MDR) on top of the Huntress security platform. Activity captured here reflects data pulled directly from the Huntress API for your tenant. Endpoint inventory is a point-in-time snapshot taken at report generation; incident, signal, and report data are filtered to the calendar month above.</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