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ook w:firstColumn="1" w:firstRow="1" w:lastColumn="0" w:lastRow="0" w:noHBand="0" w:noVBand="1" w:val="04A0"/>
      </w:tblPr>
      <w:tblGrid>
        <w:gridCol w:w="9360"/>
      </w:tblGrid>
      <w:tr>
        <w:tc>
          <w:tcPr>
            <w:tcW w:type="dxa" w:w="9360"/>
            <w:shd w:val="clear" w:color="auto" w:fill="006DB6"/>
            <w:tcBorders>
              <w:top w:val="nil"/>
              <w:left w:val="nil"/>
              <w:bottom w:val="nil"/>
              <w:right w:val="nil"/>
              <w:insideH w:val="nil"/>
              <w:insideV w:val="nil"/>
            </w:tcBorders>
          </w:tcPr>
          <w:p>
            <w:pPr>
              <w:spacing w:before="0" w:after="0"/>
            </w:pPr>
            <w:r>
              <w:rPr>
                <w:sz w:val="12"/>
              </w:rPr>
            </w:r>
          </w:p>
        </w:tc>
      </w:tr>
    </w:tbl>
    <w:p/>
    <w:p/>
    <w:p/>
    <w:p>
      <w:pPr>
        <w:jc w:val="center"/>
      </w:pPr>
      <w:r>
        <w:drawing>
          <wp:inline xmlns:a="http://schemas.openxmlformats.org/drawingml/2006/main" xmlns:pic="http://schemas.openxmlformats.org/drawingml/2006/picture">
            <wp:extent cx="2743200" cy="571500"/>
            <wp:docPr id="1" name="Picture 1"/>
            <wp:cNvGraphicFramePr>
              <a:graphicFrameLocks noChangeAspect="1"/>
            </wp:cNvGraphicFramePr>
            <a:graphic>
              <a:graphicData uri="http://schemas.openxmlformats.org/drawingml/2006/picture">
                <pic:pic>
                  <pic:nvPicPr>
                    <pic:cNvPr id="0" name="technijian-logo-full-color-600x125.png"/>
                    <pic:cNvPicPr/>
                  </pic:nvPicPr>
                  <pic:blipFill>
                    <a:blip r:embed="rId11"/>
                    <a:stretch>
                      <a:fillRect/>
                    </a:stretch>
                  </pic:blipFill>
                  <pic:spPr>
                    <a:xfrm>
                      <a:off x="0" y="0"/>
                      <a:ext cx="2743200" cy="571500"/>
                    </a:xfrm>
                    <a:prstGeom prst="rect"/>
                  </pic:spPr>
                </pic:pic>
              </a:graphicData>
            </a:graphic>
          </wp:inline>
        </w:drawing>
      </w:r>
    </w:p>
    <w:p/>
    <w:p/>
    <w:tbl>
      <w:tblPr>
        <w:tblW w:type="auto" w:w="0"/>
        <w:tblLayout w:type="fixed"/>
        <w:tblLook w:firstColumn="1" w:firstRow="1" w:lastColumn="0" w:lastRow="0" w:noHBand="0" w:noVBand="1" w:val="04A0"/>
      </w:tblPr>
      <w:tblGrid>
        <w:gridCol w:w="3120"/>
        <w:gridCol w:w="3120"/>
        <w:gridCol w:w="3120"/>
      </w:tblGrid>
      <w:tr>
        <w:tc>
          <w:tcPr>
            <w:tcW w:type="dxa" w:w="3744"/>
            <w:tcBorders>
              <w:top w:val="nil"/>
              <w:left w:val="nil"/>
              <w:bottom w:val="nil"/>
              <w:right w:val="nil"/>
              <w:insideH w:val="nil"/>
              <w:insideV w:val="nil"/>
            </w:tcBorders>
          </w:tcPr>
          <w:p/>
        </w:tc>
        <w:tc>
          <w:tcPr>
            <w:tcW w:type="dxa" w:w="2160"/>
            <w:tcBorders>
              <w:top w:val="nil"/>
              <w:left w:val="nil"/>
              <w:bottom w:val="nil"/>
              <w:right w:val="nil"/>
              <w:insideH w:val="nil"/>
              <w:insideV w:val="nil"/>
            </w:tcBorders>
            <w:shd w:val="clear" w:color="auto" w:fill="F67D4B"/>
          </w:tcPr>
          <w:p>
            <w:pPr>
              <w:spacing w:before="0" w:after="0"/>
            </w:pPr>
            <w:r>
              <w:rPr>
                <w:sz w:val="6"/>
              </w:rPr>
            </w:r>
          </w:p>
        </w:tc>
        <w:tc>
          <w:tcPr>
            <w:tcW w:type="dxa" w:w="3744"/>
            <w:tcBorders>
              <w:top w:val="nil"/>
              <w:left w:val="nil"/>
              <w:bottom w:val="nil"/>
              <w:right w:val="nil"/>
              <w:insideH w:val="nil"/>
              <w:insideV w:val="nil"/>
            </w:tcBorders>
          </w:tcPr>
          <w:p/>
        </w:tc>
      </w:tr>
    </w:tbl>
    <w:p/>
    <w:p>
      <w:pPr>
        <w:jc w:val="center"/>
      </w:pPr>
      <w:r>
        <w:rPr>
          <w:rFonts w:ascii="Open Sans" w:hAnsi="Open Sans"/>
          <w:b/>
          <w:i w:val="0"/>
          <w:color w:val="1A1A2E"/>
          <w:sz w:val="56"/>
        </w:rPr>
        <w:t>Cybersecurity Activity Report</w:t>
      </w:r>
    </w:p>
    <w:p>
      <w:pPr>
        <w:spacing w:after="120"/>
        <w:jc w:val="center"/>
      </w:pPr>
      <w:r>
        <w:rPr>
          <w:rFonts w:ascii="Open Sans" w:hAnsi="Open Sans"/>
          <w:b w:val="0"/>
          <w:i w:val="0"/>
          <w:color w:val="59595B"/>
          <w:sz w:val="32"/>
        </w:rPr>
        <w:t>Ortho Xpress</w:t>
      </w:r>
    </w:p>
    <w:p>
      <w:pPr>
        <w:jc w:val="center"/>
      </w:pPr>
      <w:r>
        <w:rPr>
          <w:rFonts w:ascii="Open Sans" w:hAnsi="Open Sans"/>
          <w:b w:val="0"/>
          <w:i w:val="0"/>
          <w:color w:val="59595B"/>
          <w:sz w:val="24"/>
        </w:rPr>
        <w:t>February 2026</w:t>
      </w:r>
    </w:p>
    <w:p/>
    <w:p/>
    <w:p/>
    <w:p/>
    <w:p/>
    <w:p/>
    <w:tbl>
      <w:tblPr>
        <w:tblW w:type="auto" w:w="0"/>
        <w:tblLook w:firstColumn="1" w:firstRow="1" w:lastColumn="0" w:lastRow="0" w:noHBand="0" w:noVBand="1" w:val="04A0"/>
      </w:tblPr>
      <w:tblGrid>
        <w:gridCol w:w="9360"/>
      </w:tblGrid>
      <w:tr>
        <w:tc>
          <w:tcPr>
            <w:tcW w:type="dxa" w:w="9360"/>
            <w:shd w:val="clear" w:color="auto" w:fill="F67D4B"/>
            <w:tcBorders>
              <w:top w:val="nil"/>
              <w:left w:val="nil"/>
              <w:bottom w:val="nil"/>
              <w:right w:val="nil"/>
              <w:insideH w:val="nil"/>
              <w:insideV w:val="nil"/>
            </w:tcBorders>
          </w:tcPr>
          <w:p>
            <w:pPr>
              <w:spacing w:before="0" w:after="0"/>
            </w:pPr>
            <w:r>
              <w:rPr>
                <w:sz w:val="12"/>
              </w:rPr>
            </w:r>
          </w:p>
        </w:tc>
      </w:tr>
    </w:tbl>
    <w:p>
      <w:pPr>
        <w:spacing w:before="160"/>
        <w:jc w:val="center"/>
      </w:pPr>
      <w:r>
        <w:rPr>
          <w:rFonts w:ascii="Open Sans" w:hAnsi="Open Sans"/>
          <w:b w:val="0"/>
          <w:i/>
          <w:color w:val="59595B"/>
          <w:sz w:val="18"/>
        </w:rPr>
        <w:t>Confidential — prepared by Technijian for the named client only.</w:t>
      </w:r>
    </w:p>
    <w:p>
      <w:r>
        <w:br w:type="page"/>
      </w:r>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Executive Summary</w:t>
            </w:r>
          </w:p>
        </w:tc>
      </w:tr>
    </w:tbl>
    <w:p>
      <w:pPr>
        <w:spacing w:after="160"/>
      </w:pPr>
      <w:r>
        <w:rPr>
          <w:rFonts w:ascii="Open Sans" w:hAnsi="Open Sans"/>
          <w:b w:val="0"/>
          <w:i w:val="0"/>
          <w:color w:val="59595B"/>
          <w:sz w:val="22"/>
        </w:rPr>
        <w:t>This report summarizes the cybersecurity activity Technijian delivered for Ortho Xpress during February 2026. The Huntress managed detection and response (MDR) platform monitored your endpoints 24x7 and Technijian's security operations team reviewed every alert that fired. Below is a plain-English summary of what we saw, what we did about it, and where you stand today.</w:t>
      </w:r>
    </w:p>
    <w:tbl>
      <w:tblPr>
        <w:tblW w:type="auto" w:w="0"/>
        <w:tblLayout w:type="fixed"/>
        <w:tblLook w:firstColumn="1" w:firstRow="1" w:lastColumn="0" w:lastRow="0" w:noHBand="0" w:noVBand="1" w:val="04A0"/>
      </w:tblPr>
      <w:tblGrid>
        <w:gridCol w:w="2340"/>
        <w:gridCol w:w="2340"/>
        <w:gridCol w:w="2340"/>
        <w:gridCol w:w="2340"/>
      </w:tblGrid>
      <w:tr>
        <w:tc>
          <w:tcPr>
            <w:tcW w:type="dxa" w:w="2340"/>
            <w:shd w:val="clear" w:color="auto" w:fill="F8F9FA"/>
            <w:tcBorders>
              <w:top w:val="nil"/>
              <w:left w:val="nil"/>
              <w:bottom w:val="nil"/>
              <w:right w:val="nil"/>
              <w:insideH w:val="nil"/>
              <w:insideV w:val="nil"/>
            </w:tcBorders>
          </w:tcPr>
          <w:p>
            <w:pPr>
              <w:spacing w:before="240" w:after="0"/>
              <w:jc w:val="center"/>
            </w:pPr>
            <w:r>
              <w:rPr>
                <w:rFonts w:ascii="Open Sans" w:hAnsi="Open Sans"/>
                <w:b/>
                <w:i w:val="0"/>
                <w:color w:val="006DB6"/>
                <w:sz w:val="48"/>
              </w:rPr>
              <w:t>83</w:t>
            </w:r>
          </w:p>
          <w:p>
            <w:pPr>
              <w:spacing w:before="0" w:after="240"/>
              <w:jc w:val="center"/>
            </w:pPr>
            <w:r>
              <w:rPr>
                <w:rFonts w:ascii="Open Sans" w:hAnsi="Open Sans"/>
                <w:b w:val="0"/>
                <w:i w:val="0"/>
                <w:color w:val="59595B"/>
                <w:sz w:val="20"/>
              </w:rPr>
              <w:t>Endpoints Protected</w:t>
            </w:r>
          </w:p>
        </w:tc>
        <w:tc>
          <w:tcPr>
            <w:tcW w:type="dxa" w:w="2340"/>
            <w:shd w:val="clear" w:color="auto" w:fill="F8F9FA"/>
            <w:tcBorders>
              <w:top w:val="nil"/>
              <w:left w:val="nil"/>
              <w:bottom w:val="nil"/>
              <w:right w:val="nil"/>
              <w:insideH w:val="nil"/>
              <w:insideV w:val="nil"/>
            </w:tcBorders>
          </w:tcPr>
          <w:p>
            <w:pPr>
              <w:spacing w:before="240" w:after="0"/>
              <w:jc w:val="center"/>
            </w:pPr>
            <w:r>
              <w:rPr>
                <w:rFonts w:ascii="Open Sans" w:hAnsi="Open Sans"/>
                <w:b/>
                <w:i w:val="0"/>
                <w:color w:val="28A745"/>
                <w:sz w:val="48"/>
              </w:rPr>
              <w:t>81</w:t>
            </w:r>
          </w:p>
          <w:p>
            <w:pPr>
              <w:spacing w:before="0" w:after="240"/>
              <w:jc w:val="center"/>
            </w:pPr>
            <w:r>
              <w:rPr>
                <w:rFonts w:ascii="Open Sans" w:hAnsi="Open Sans"/>
                <w:b w:val="0"/>
                <w:i w:val="0"/>
                <w:color w:val="59595B"/>
                <w:sz w:val="20"/>
              </w:rPr>
              <w:t>Active in Last 7 Days</w:t>
            </w:r>
          </w:p>
        </w:tc>
        <w:tc>
          <w:tcPr>
            <w:tcW w:type="dxa" w:w="2340"/>
            <w:shd w:val="clear" w:color="auto" w:fill="F8F9FA"/>
            <w:tcBorders>
              <w:top w:val="nil"/>
              <w:left w:val="nil"/>
              <w:bottom w:val="nil"/>
              <w:right w:val="nil"/>
              <w:insideH w:val="nil"/>
              <w:insideV w:val="nil"/>
            </w:tcBorders>
          </w:tcPr>
          <w:p>
            <w:pPr>
              <w:spacing w:before="240" w:after="0"/>
              <w:jc w:val="center"/>
            </w:pPr>
            <w:r>
              <w:rPr>
                <w:rFonts w:ascii="Open Sans" w:hAnsi="Open Sans"/>
                <w:b/>
                <w:i w:val="0"/>
                <w:color w:val="F67D4B"/>
                <w:sz w:val="48"/>
              </w:rPr>
              <w:t>5</w:t>
            </w:r>
          </w:p>
          <w:p>
            <w:pPr>
              <w:spacing w:before="0" w:after="240"/>
              <w:jc w:val="center"/>
            </w:pPr>
            <w:r>
              <w:rPr>
                <w:rFonts w:ascii="Open Sans" w:hAnsi="Open Sans"/>
                <w:b w:val="0"/>
                <w:i w:val="0"/>
                <w:color w:val="59595B"/>
                <w:sz w:val="20"/>
              </w:rPr>
              <w:t>Incidents Investigated</w:t>
            </w:r>
          </w:p>
        </w:tc>
        <w:tc>
          <w:tcPr>
            <w:tcW w:type="dxa" w:w="2340"/>
            <w:shd w:val="clear" w:color="auto" w:fill="F8F9FA"/>
            <w:tcBorders>
              <w:top w:val="nil"/>
              <w:left w:val="nil"/>
              <w:bottom w:val="nil"/>
              <w:right w:val="nil"/>
              <w:insideH w:val="nil"/>
              <w:insideV w:val="nil"/>
            </w:tcBorders>
          </w:tcPr>
          <w:p>
            <w:pPr>
              <w:spacing w:before="240" w:after="0"/>
              <w:jc w:val="center"/>
            </w:pPr>
            <w:r>
              <w:rPr>
                <w:rFonts w:ascii="Open Sans" w:hAnsi="Open Sans"/>
                <w:b/>
                <w:i w:val="0"/>
                <w:color w:val="1EAAC8"/>
                <w:sz w:val="48"/>
              </w:rPr>
              <w:t>7</w:t>
            </w:r>
          </w:p>
          <w:p>
            <w:pPr>
              <w:spacing w:before="0" w:after="240"/>
              <w:jc w:val="center"/>
            </w:pPr>
            <w:r>
              <w:rPr>
                <w:rFonts w:ascii="Open Sans" w:hAnsi="Open Sans"/>
                <w:b w:val="0"/>
                <w:i w:val="0"/>
                <w:color w:val="59595B"/>
                <w:sz w:val="20"/>
              </w:rPr>
              <w:t>Signals Reviewed</w:t>
            </w:r>
          </w:p>
        </w:tc>
      </w:tr>
    </w:tbl>
    <w:tbl>
      <w:tblPr>
        <w:tblW w:type="auto" w:w="0"/>
        <w:tblLook w:firstColumn="1" w:firstRow="1" w:lastColumn="0" w:lastRow="0" w:noHBand="0" w:noVBand="1" w:val="04A0"/>
      </w:tblPr>
      <w:tblGrid>
        <w:gridCol w:w="9360"/>
      </w:tblGrid>
      <w:tr>
        <w:tc>
          <w:tcPr>
            <w:tcW w:type="dxa" w:w="9360"/>
            <w:shd w:val="clear" w:color="auto" w:fill="FEF3EE"/>
            <w:tcBorders>
              <w:top w:val="single" w:sz="12" w:color="F67D4B"/>
              <w:left w:val="single" w:sz="12" w:color="F67D4B"/>
              <w:bottom w:val="single" w:sz="12" w:color="F67D4B"/>
              <w:right w:val="single" w:sz="12" w:color="F67D4B"/>
            </w:tcBorders>
          </w:tcPr>
          <w:p>
            <w:pPr>
              <w:spacing w:before="120" w:after="120"/>
            </w:pPr>
            <w:r>
              <w:rPr>
                <w:rFonts w:ascii="Open Sans" w:hAnsi="Open Sans"/>
                <w:b w:val="0"/>
                <w:i w:val="0"/>
                <w:color w:val="1A1A2E"/>
                <w:sz w:val="22"/>
              </w:rPr>
              <w:t>Attention items: 49 endpoint(s) with Microsoft Defender or firewall in a non-protected state; 2 endpoint(s) that have not phoned home in 30+ days. See Recommendations section below for the remediation list.</w:t>
            </w:r>
          </w:p>
        </w:tc>
      </w:tr>
    </w:tbl>
    <w:p>
      <w:r>
        <w:br w:type="page"/>
      </w:r>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Endpoint Protection</w:t>
            </w:r>
          </w:p>
        </w:tc>
      </w:tr>
    </w:tbl>
    <w:p>
      <w:pPr>
        <w:spacing w:after="160"/>
      </w:pPr>
      <w:r>
        <w:rPr>
          <w:rFonts w:ascii="Open Sans" w:hAnsi="Open Sans"/>
          <w:b w:val="0"/>
          <w:i w:val="0"/>
          <w:color w:val="59595B"/>
          <w:sz w:val="22"/>
        </w:rPr>
        <w:t>Every protected computer reports back to Huntress on a regular interval. The breakdown below shows which endpoints have been phoning home, how recently, and the state of their built-in defenses (Microsoft Defender + Windows Firewall).</w:t>
      </w:r>
    </w:p>
    <w:tbl>
      <w:tblPr>
        <w:tblW w:type="auto" w:w="0"/>
        <w:tblLayout w:type="fixed"/>
        <w:tblLook w:firstColumn="1" w:firstRow="1" w:lastColumn="0" w:lastRow="0" w:noHBand="0" w:noVBand="1" w:val="04A0"/>
      </w:tblPr>
      <w:tblGrid>
        <w:gridCol w:w="4680"/>
        <w:gridCol w:w="4680"/>
      </w:tblGrid>
      <w:tr>
        <w:tc>
          <w:tcPr>
            <w:tcW w:type="dxa" w:w="6624"/>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Metric</w:t>
            </w:r>
          </w:p>
        </w:tc>
        <w:tc>
          <w:tcPr>
            <w:tcW w:type="dxa" w:w="2016"/>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Count</w:t>
            </w:r>
          </w:p>
        </w:tc>
      </w:tr>
      <w:tr>
        <w:tc>
          <w:tcPr>
            <w:tcW w:type="dxa" w:w="662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Total endpoints under management</w:t>
            </w:r>
          </w:p>
        </w:tc>
        <w:tc>
          <w:tcPr>
            <w:tcW w:type="dxa" w:w="201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83</w:t>
            </w:r>
          </w:p>
        </w:tc>
      </w:tr>
      <w:tr>
        <w:tc>
          <w:tcPr>
            <w:tcW w:type="dxa" w:w="66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Phoned home in the last 24 hours</w:t>
            </w:r>
          </w:p>
        </w:tc>
        <w:tc>
          <w:tcPr>
            <w:tcW w:type="dxa" w:w="201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79</w:t>
            </w:r>
          </w:p>
        </w:tc>
      </w:tr>
      <w:tr>
        <w:tc>
          <w:tcPr>
            <w:tcW w:type="dxa" w:w="662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Phoned home in the last 7 days</w:t>
            </w:r>
          </w:p>
        </w:tc>
        <w:tc>
          <w:tcPr>
            <w:tcW w:type="dxa" w:w="201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81</w:t>
            </w:r>
          </w:p>
        </w:tc>
      </w:tr>
      <w:tr>
        <w:tc>
          <w:tcPr>
            <w:tcW w:type="dxa" w:w="66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Stale (8 - 30 days since last check-in)</w:t>
            </w:r>
          </w:p>
        </w:tc>
        <w:tc>
          <w:tcPr>
            <w:tcW w:type="dxa" w:w="201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w:t>
            </w:r>
          </w:p>
        </w:tc>
      </w:tr>
      <w:tr>
        <w:tc>
          <w:tcPr>
            <w:tcW w:type="dxa" w:w="662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Inactive (more than 30 days since last check-in)</w:t>
            </w:r>
          </w:p>
        </w:tc>
        <w:tc>
          <w:tcPr>
            <w:tcW w:type="dxa" w:w="201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w:t>
            </w:r>
          </w:p>
        </w:tc>
      </w:tr>
      <w:tr>
        <w:tc>
          <w:tcPr>
            <w:tcW w:type="dxa" w:w="66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Never seen by the platform</w:t>
            </w:r>
          </w:p>
        </w:tc>
        <w:tc>
          <w:tcPr>
            <w:tcW w:type="dxa" w:w="201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w:t>
            </w:r>
          </w:p>
        </w:tc>
      </w:tr>
    </w:tbl>
    <w:p/>
    <w:p>
      <w:pPr>
        <w:spacing w:after="160"/>
      </w:pPr>
      <w:r>
        <w:rPr>
          <w:rFonts w:ascii="Open Sans" w:hAnsi="Open Sans"/>
          <w:b/>
          <w:i w:val="0"/>
          <w:color w:val="1A1A2E"/>
          <w:sz w:val="24"/>
        </w:rPr>
        <w:t>Operating system distribution</w:t>
      </w:r>
    </w:p>
    <w:tbl>
      <w:tblPr>
        <w:tblW w:type="auto" w:w="0"/>
        <w:tblLayout w:type="fixed"/>
        <w:tblLook w:firstColumn="1" w:firstRow="1" w:lastColumn="0" w:lastRow="0" w:noHBand="0" w:noVBand="1" w:val="04A0"/>
      </w:tblPr>
      <w:tblGrid>
        <w:gridCol w:w="4680"/>
        <w:gridCol w:w="4680"/>
      </w:tblGrid>
      <w:tr>
        <w:tc>
          <w:tcPr>
            <w:tcW w:type="dxa" w:w="6624"/>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Operating System</w:t>
            </w:r>
          </w:p>
        </w:tc>
        <w:tc>
          <w:tcPr>
            <w:tcW w:type="dxa" w:w="2016"/>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Endpoints</w:t>
            </w:r>
          </w:p>
        </w:tc>
      </w:tr>
      <w:tr>
        <w:tc>
          <w:tcPr>
            <w:tcW w:type="dxa" w:w="662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Windows 11 Pro</w:t>
            </w:r>
          </w:p>
        </w:tc>
        <w:tc>
          <w:tcPr>
            <w:tcW w:type="dxa" w:w="201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62</w:t>
            </w:r>
          </w:p>
        </w:tc>
      </w:tr>
      <w:tr>
        <w:tc>
          <w:tcPr>
            <w:tcW w:type="dxa" w:w="66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Windows Server 2022 Standard</w:t>
            </w:r>
          </w:p>
        </w:tc>
        <w:tc>
          <w:tcPr>
            <w:tcW w:type="dxa" w:w="201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15</w:t>
            </w:r>
          </w:p>
        </w:tc>
      </w:tr>
      <w:tr>
        <w:tc>
          <w:tcPr>
            <w:tcW w:type="dxa" w:w="662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Windows Server 2016 Standard</w:t>
            </w:r>
          </w:p>
        </w:tc>
        <w:tc>
          <w:tcPr>
            <w:tcW w:type="dxa" w:w="201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w:t>
            </w:r>
          </w:p>
        </w:tc>
      </w:tr>
      <w:tr>
        <w:tc>
          <w:tcPr>
            <w:tcW w:type="dxa" w:w="66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Windows 10 Pro</w:t>
            </w:r>
          </w:p>
        </w:tc>
        <w:tc>
          <w:tcPr>
            <w:tcW w:type="dxa" w:w="201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w:t>
            </w:r>
          </w:p>
        </w:tc>
      </w:tr>
      <w:tr>
        <w:tc>
          <w:tcPr>
            <w:tcW w:type="dxa" w:w="662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macOS Tahoe 26</w:t>
            </w:r>
          </w:p>
        </w:tc>
        <w:tc>
          <w:tcPr>
            <w:tcW w:type="dxa" w:w="201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w:t>
            </w:r>
          </w:p>
        </w:tc>
      </w:tr>
      <w:tr>
        <w:tc>
          <w:tcPr>
            <w:tcW w:type="dxa" w:w="66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Windows Server 2008 R2 Standard</w:t>
            </w:r>
          </w:p>
        </w:tc>
        <w:tc>
          <w:tcPr>
            <w:tcW w:type="dxa" w:w="201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w:t>
            </w:r>
          </w:p>
        </w:tc>
      </w:tr>
    </w:tbl>
    <w:p/>
    <w:p>
      <w:pPr>
        <w:spacing w:after="160"/>
      </w:pPr>
      <w:r>
        <w:rPr>
          <w:rFonts w:ascii="Open Sans" w:hAnsi="Open Sans"/>
          <w:b/>
          <w:i w:val="0"/>
          <w:color w:val="1A1A2E"/>
          <w:sz w:val="24"/>
        </w:rPr>
        <w:t>Microsoft Defender posture</w:t>
      </w:r>
    </w:p>
    <w:tbl>
      <w:tblPr>
        <w:tblW w:type="auto" w:w="0"/>
        <w:tblLayout w:type="fixed"/>
        <w:tblLook w:firstColumn="1" w:firstRow="1" w:lastColumn="0" w:lastRow="0" w:noHBand="0" w:noVBand="1" w:val="04A0"/>
      </w:tblPr>
      <w:tblGrid>
        <w:gridCol w:w="4680"/>
        <w:gridCol w:w="4680"/>
      </w:tblGrid>
      <w:tr>
        <w:tc>
          <w:tcPr>
            <w:tcW w:type="dxa" w:w="6624"/>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Defender Status</w:t>
            </w:r>
          </w:p>
        </w:tc>
        <w:tc>
          <w:tcPr>
            <w:tcW w:type="dxa" w:w="2016"/>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Endpoints</w:t>
            </w:r>
          </w:p>
        </w:tc>
      </w:tr>
      <w:tr>
        <w:tc>
          <w:tcPr>
            <w:tcW w:type="dxa" w:w="6624"/>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67D4B"/>
                <w:sz w:val="19"/>
              </w:rPr>
              <w:t>Unmanaged</w:t>
            </w:r>
          </w:p>
        </w:tc>
        <w:tc>
          <w:tcPr>
            <w:tcW w:type="dxa" w:w="201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60</w:t>
            </w:r>
          </w:p>
        </w:tc>
      </w:tr>
      <w:tr>
        <w:tc>
          <w:tcPr>
            <w:tcW w:type="dxa" w:w="66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CC0000"/>
                <w:sz w:val="19"/>
              </w:rPr>
              <w:t>Unhealthy</w:t>
            </w:r>
          </w:p>
        </w:tc>
        <w:tc>
          <w:tcPr>
            <w:tcW w:type="dxa" w:w="201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21</w:t>
            </w:r>
          </w:p>
        </w:tc>
      </w:tr>
      <w:tr>
        <w:tc>
          <w:tcPr>
            <w:tcW w:type="dxa" w:w="6624"/>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67D4B"/>
                <w:sz w:val="19"/>
              </w:rPr>
              <w:t>Incompatible</w:t>
            </w:r>
          </w:p>
        </w:tc>
        <w:tc>
          <w:tcPr>
            <w:tcW w:type="dxa" w:w="201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w:t>
            </w:r>
          </w:p>
        </w:tc>
      </w:tr>
    </w:tbl>
    <w:p/>
    <w:p>
      <w:pPr>
        <w:spacing w:after="160"/>
      </w:pPr>
      <w:r>
        <w:rPr>
          <w:rFonts w:ascii="Open Sans" w:hAnsi="Open Sans"/>
          <w:b/>
          <w:i w:val="0"/>
          <w:color w:val="1A1A2E"/>
          <w:sz w:val="24"/>
        </w:rPr>
        <w:t>Windows Firewall posture</w:t>
      </w:r>
    </w:p>
    <w:tbl>
      <w:tblPr>
        <w:tblW w:type="auto" w:w="0"/>
        <w:tblLayout w:type="fixed"/>
        <w:tblLook w:firstColumn="1" w:firstRow="1" w:lastColumn="0" w:lastRow="0" w:noHBand="0" w:noVBand="1" w:val="04A0"/>
      </w:tblPr>
      <w:tblGrid>
        <w:gridCol w:w="4680"/>
        <w:gridCol w:w="4680"/>
      </w:tblGrid>
      <w:tr>
        <w:tc>
          <w:tcPr>
            <w:tcW w:type="dxa" w:w="6624"/>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Firewall Status</w:t>
            </w:r>
          </w:p>
        </w:tc>
        <w:tc>
          <w:tcPr>
            <w:tcW w:type="dxa" w:w="2016"/>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Endpoints</w:t>
            </w:r>
          </w:p>
        </w:tc>
      </w:tr>
      <w:tr>
        <w:tc>
          <w:tcPr>
            <w:tcW w:type="dxa" w:w="6624"/>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CC0000"/>
                <w:sz w:val="19"/>
              </w:rPr>
              <w:t>Disabled</w:t>
            </w:r>
          </w:p>
        </w:tc>
        <w:tc>
          <w:tcPr>
            <w:tcW w:type="dxa" w:w="201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44</w:t>
            </w:r>
          </w:p>
        </w:tc>
      </w:tr>
      <w:tr>
        <w:tc>
          <w:tcPr>
            <w:tcW w:type="dxa" w:w="66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28A745"/>
                <w:sz w:val="19"/>
              </w:rPr>
              <w:t>Enabled</w:t>
            </w:r>
          </w:p>
        </w:tc>
        <w:tc>
          <w:tcPr>
            <w:tcW w:type="dxa" w:w="201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39</w:t>
            </w:r>
          </w:p>
        </w:tc>
      </w:tr>
    </w:tbl>
    <w:p>
      <w:r>
        <w:br w:type="page"/>
      </w:r>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Threat Activity This Month</w:t>
            </w:r>
          </w:p>
        </w:tc>
      </w:tr>
    </w:tbl>
    <w:p>
      <w:pPr>
        <w:spacing w:after="160"/>
      </w:pPr>
      <w:r>
        <w:rPr>
          <w:rFonts w:ascii="Open Sans" w:hAnsi="Open Sans"/>
          <w:b w:val="0"/>
          <w:i w:val="0"/>
          <w:color w:val="59595B"/>
          <w:sz w:val="22"/>
        </w:rPr>
        <w:t>During February 2026, Huntress raised 5 incident report(s) and surfaced 7 signal(s) on your environment. Each one was reviewed by Technijian's security operations team and routed to the appropriate response track. The breakdown is below.</w:t>
      </w:r>
    </w:p>
    <w:p/>
    <w:p>
      <w:pPr>
        <w:spacing w:after="160"/>
      </w:pPr>
      <w:r>
        <w:rPr>
          <w:rFonts w:ascii="Open Sans" w:hAnsi="Open Sans"/>
          <w:b/>
          <w:i w:val="0"/>
          <w:color w:val="1A1A2E"/>
          <w:sz w:val="24"/>
        </w:rPr>
        <w:t>Incidents by severity</w:t>
      </w:r>
    </w:p>
    <w:tbl>
      <w:tblPr>
        <w:tblW w:type="auto" w:w="0"/>
        <w:tblLayout w:type="fixed"/>
        <w:tblLook w:firstColumn="1" w:firstRow="1" w:lastColumn="0" w:lastRow="0" w:noHBand="0" w:noVBand="1" w:val="04A0"/>
      </w:tblPr>
      <w:tblGrid>
        <w:gridCol w:w="4680"/>
        <w:gridCol w:w="4680"/>
      </w:tblGrid>
      <w:tr>
        <w:tc>
          <w:tcPr>
            <w:tcW w:type="dxa" w:w="504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Severity</w:t>
            </w:r>
          </w:p>
        </w:tc>
        <w:tc>
          <w:tcPr>
            <w:tcW w:type="dxa" w:w="360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Count</w:t>
            </w:r>
          </w:p>
        </w:tc>
      </w:tr>
      <w:tr>
        <w:tc>
          <w:tcPr>
            <w:tcW w:type="dxa" w:w="504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Low</w:t>
            </w:r>
          </w:p>
        </w:tc>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5</w:t>
            </w:r>
          </w:p>
        </w:tc>
      </w:tr>
    </w:tbl>
    <w:p/>
    <w:p>
      <w:pPr>
        <w:spacing w:after="160"/>
      </w:pPr>
      <w:r>
        <w:rPr>
          <w:rFonts w:ascii="Open Sans" w:hAnsi="Open Sans"/>
          <w:b/>
          <w:i w:val="0"/>
          <w:color w:val="1A1A2E"/>
          <w:sz w:val="24"/>
        </w:rPr>
        <w:t>Incident detail</w:t>
      </w:r>
    </w:p>
    <w:tbl>
      <w:tblPr>
        <w:tblW w:type="auto" w:w="0"/>
        <w:tblLayout w:type="fixed"/>
        <w:tblLook w:firstColumn="1" w:firstRow="1" w:lastColumn="0" w:lastRow="0" w:noHBand="0" w:noVBand="1" w:val="04A0"/>
      </w:tblPr>
      <w:tblGrid>
        <w:gridCol w:w="2340"/>
        <w:gridCol w:w="2340"/>
        <w:gridCol w:w="2340"/>
        <w:gridCol w:w="2340"/>
      </w:tblGrid>
      <w:tr>
        <w:tc>
          <w:tcPr>
            <w:tcW w:type="dxa" w:w="144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Date</w:t>
            </w:r>
          </w:p>
        </w:tc>
        <w:tc>
          <w:tcPr>
            <w:tcW w:type="dxa" w:w="144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Severity</w:t>
            </w:r>
          </w:p>
        </w:tc>
        <w:tc>
          <w:tcPr>
            <w:tcW w:type="dxa" w:w="144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Status</w:t>
            </w:r>
          </w:p>
        </w:tc>
        <w:tc>
          <w:tcPr>
            <w:tcW w:type="dxa" w:w="5184"/>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Summary</w:t>
            </w:r>
          </w:p>
        </w:tc>
      </w:tr>
      <w:tr>
        <w:tc>
          <w:tcPr>
            <w:tcW w:type="dxa" w:w="144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2026-02-21</w:t>
            </w:r>
          </w:p>
        </w:tc>
        <w:tc>
          <w:tcPr>
            <w:tcW w:type="dxa" w:w="144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Low</w:t>
            </w:r>
          </w:p>
        </w:tc>
        <w:tc>
          <w:tcPr>
            <w:tcW w:type="dxa" w:w="144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Sent</w:t>
            </w:r>
          </w:p>
        </w:tc>
        <w:tc>
          <w:tcPr>
            <w:tcW w:type="dxa" w:w="518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LOW - Incident on WKORX70 (ORX - Ortho Xpress)</w:t>
            </w:r>
          </w:p>
        </w:tc>
      </w:tr>
      <w:tr>
        <w:tc>
          <w:tcPr>
            <w:tcW w:type="dxa" w:w="144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2026-02-17</w:t>
            </w:r>
          </w:p>
        </w:tc>
        <w:tc>
          <w:tcPr>
            <w:tcW w:type="dxa" w:w="144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Low</w:t>
            </w:r>
          </w:p>
        </w:tc>
        <w:tc>
          <w:tcPr>
            <w:tcW w:type="dxa" w:w="144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Closed</w:t>
            </w:r>
          </w:p>
        </w:tc>
        <w:tc>
          <w:tcPr>
            <w:tcW w:type="dxa" w:w="518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LOW - Incident on WKORX72 (ORX - Ortho Xpress)</w:t>
            </w:r>
          </w:p>
        </w:tc>
      </w:tr>
      <w:tr>
        <w:tc>
          <w:tcPr>
            <w:tcW w:type="dxa" w:w="144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2026-02-17</w:t>
            </w:r>
          </w:p>
        </w:tc>
        <w:tc>
          <w:tcPr>
            <w:tcW w:type="dxa" w:w="144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Low</w:t>
            </w:r>
          </w:p>
        </w:tc>
        <w:tc>
          <w:tcPr>
            <w:tcW w:type="dxa" w:w="144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Sent</w:t>
            </w:r>
          </w:p>
        </w:tc>
        <w:tc>
          <w:tcPr>
            <w:tcW w:type="dxa" w:w="518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LOW - Incident on ORX-DC-TS-04 (ORX - Ortho Xpress)</w:t>
            </w:r>
          </w:p>
        </w:tc>
      </w:tr>
      <w:tr>
        <w:tc>
          <w:tcPr>
            <w:tcW w:type="dxa" w:w="144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2026-02-13</w:t>
            </w:r>
          </w:p>
        </w:tc>
        <w:tc>
          <w:tcPr>
            <w:tcW w:type="dxa" w:w="144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Low</w:t>
            </w:r>
          </w:p>
        </w:tc>
        <w:tc>
          <w:tcPr>
            <w:tcW w:type="dxa" w:w="144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Closed</w:t>
            </w:r>
          </w:p>
        </w:tc>
        <w:tc>
          <w:tcPr>
            <w:tcW w:type="dxa" w:w="518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LOW - Incident on LPJRM01 (ORX - Ortho Xpress)</w:t>
            </w:r>
          </w:p>
        </w:tc>
      </w:tr>
      <w:tr>
        <w:tc>
          <w:tcPr>
            <w:tcW w:type="dxa" w:w="144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2026-02-03</w:t>
            </w:r>
          </w:p>
        </w:tc>
        <w:tc>
          <w:tcPr>
            <w:tcW w:type="dxa" w:w="144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Low</w:t>
            </w:r>
          </w:p>
        </w:tc>
        <w:tc>
          <w:tcPr>
            <w:tcW w:type="dxa" w:w="144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Sent</w:t>
            </w:r>
          </w:p>
        </w:tc>
        <w:tc>
          <w:tcPr>
            <w:tcW w:type="dxa" w:w="518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LOW - Incident on WKORX55 (ORX - Ortho Xpress)</w:t>
            </w:r>
          </w:p>
        </w:tc>
      </w:tr>
    </w:tbl>
    <w:p>
      <w:r>
        <w:br w:type="page"/>
      </w:r>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What Technijian Did For You</w:t>
            </w:r>
          </w:p>
        </w:tc>
      </w:tr>
    </w:tbl>
    <w:p>
      <w:pPr>
        <w:pStyle w:val="ListBullet"/>
        <w:spacing w:after="80"/>
      </w:pPr>
      <w:r>
        <w:rPr>
          <w:rFonts w:ascii="Open Sans" w:hAnsi="Open Sans"/>
          <w:b/>
          <w:i w:val="0"/>
          <w:color w:val="1A1A2E"/>
          <w:sz w:val="22"/>
        </w:rPr>
        <w:t xml:space="preserve">Continuous monitoring. </w:t>
      </w:r>
      <w:r>
        <w:rPr>
          <w:rFonts w:ascii="Open Sans" w:hAnsi="Open Sans"/>
          <w:b w:val="0"/>
          <w:i w:val="0"/>
          <w:color w:val="59595B"/>
          <w:sz w:val="22"/>
        </w:rPr>
        <w:t>Every endpoint was monitored 24x7 by the Huntress sensor. 81 of 83 agent(s) reported in within the last 7 days.</w:t>
      </w:r>
    </w:p>
    <w:p>
      <w:pPr>
        <w:pStyle w:val="ListBullet"/>
        <w:spacing w:after="80"/>
      </w:pPr>
      <w:r>
        <w:rPr>
          <w:rFonts w:ascii="Open Sans" w:hAnsi="Open Sans"/>
          <w:b/>
          <w:i w:val="0"/>
          <w:color w:val="1A1A2E"/>
          <w:sz w:val="22"/>
        </w:rPr>
        <w:t xml:space="preserve">Alert review. </w:t>
      </w:r>
      <w:r>
        <w:rPr>
          <w:rFonts w:ascii="Open Sans" w:hAnsi="Open Sans"/>
          <w:b w:val="0"/>
          <w:i w:val="0"/>
          <w:color w:val="59595B"/>
          <w:sz w:val="22"/>
        </w:rPr>
        <w:t>Our security operations team triaged 7 signal(s) and actioned 5 incident report(s) raised this month.</w:t>
      </w:r>
    </w:p>
    <w:p>
      <w:pPr>
        <w:pStyle w:val="ListBullet"/>
        <w:spacing w:after="80"/>
      </w:pPr>
      <w:r>
        <w:rPr>
          <w:rFonts w:ascii="Open Sans" w:hAnsi="Open Sans"/>
          <w:b/>
          <w:i w:val="0"/>
          <w:color w:val="1A1A2E"/>
          <w:sz w:val="22"/>
        </w:rPr>
        <w:t xml:space="preserve">Reports &amp; posture review. </w:t>
      </w:r>
      <w:r>
        <w:rPr>
          <w:rFonts w:ascii="Open Sans" w:hAnsi="Open Sans"/>
          <w:b w:val="0"/>
          <w:i w:val="0"/>
          <w:color w:val="59595B"/>
          <w:sz w:val="22"/>
        </w:rPr>
        <w:t>6 platform-generated security report(s) overlapped this month and were reviewed for trends and emerging risks.</w:t>
      </w:r>
    </w:p>
    <w:p>
      <w:pPr>
        <w:pStyle w:val="ListBullet"/>
        <w:spacing w:after="80"/>
      </w:pPr>
      <w:r>
        <w:rPr>
          <w:rFonts w:ascii="Open Sans" w:hAnsi="Open Sans"/>
          <w:b/>
          <w:i w:val="0"/>
          <w:color w:val="1A1A2E"/>
          <w:sz w:val="22"/>
        </w:rPr>
        <w:t xml:space="preserve">Posture data captured. </w:t>
      </w:r>
      <w:r>
        <w:rPr>
          <w:rFonts w:ascii="Open Sans" w:hAnsi="Open Sans"/>
          <w:b w:val="0"/>
          <w:i w:val="0"/>
          <w:color w:val="59595B"/>
          <w:sz w:val="22"/>
        </w:rPr>
        <w:t>Microsoft Defender state, Windows Firewall state, agent version, and last-callback timestamp were captured for every endpoint to drive remediation discussions.</w:t>
      </w:r>
    </w:p>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Recommendations</w:t>
            </w:r>
          </w:p>
        </w:tc>
      </w:tr>
    </w:tbl>
    <w:p>
      <w:pPr>
        <w:spacing w:after="160"/>
      </w:pPr>
      <w:r>
        <w:rPr>
          <w:rFonts w:ascii="Open Sans" w:hAnsi="Open Sans"/>
          <w:b/>
          <w:i w:val="0"/>
          <w:color w:val="1A1A2E"/>
          <w:sz w:val="24"/>
        </w:rPr>
        <w:t>Endpoints not phoning home (30+ days)</w:t>
      </w:r>
    </w:p>
    <w:tbl>
      <w:tblPr>
        <w:tblW w:type="auto" w:w="0"/>
        <w:tblLayout w:type="fixed"/>
        <w:tblLook w:firstColumn="1" w:firstRow="1" w:lastColumn="0" w:lastRow="0" w:noHBand="0" w:noVBand="1" w:val="04A0"/>
      </w:tblPr>
      <w:tblGrid>
        <w:gridCol w:w="2340"/>
        <w:gridCol w:w="2340"/>
        <w:gridCol w:w="2340"/>
        <w:gridCol w:w="2340"/>
      </w:tblGrid>
      <w:tr>
        <w:tc>
          <w:tcPr>
            <w:tcW w:type="dxa" w:w="288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Hostname</w:t>
            </w:r>
          </w:p>
        </w:tc>
        <w:tc>
          <w:tcPr>
            <w:tcW w:type="dxa" w:w="288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OS</w:t>
            </w:r>
          </w:p>
        </w:tc>
        <w:tc>
          <w:tcPr>
            <w:tcW w:type="dxa" w:w="216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Last Seen</w:t>
            </w:r>
          </w:p>
        </w:tc>
        <w:tc>
          <w:tcPr>
            <w:tcW w:type="dxa" w:w="216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State</w:t>
            </w:r>
          </w:p>
        </w:tc>
      </w:tr>
      <w:tr>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WKORX39</w:t>
            </w:r>
          </w:p>
        </w:tc>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Windows 11 Pro</w:t>
            </w:r>
          </w:p>
        </w:tc>
        <w:tc>
          <w:tcPr>
            <w:tcW w:type="dxa" w:w="216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2026-01-21</w:t>
            </w:r>
          </w:p>
        </w:tc>
        <w:tc>
          <w:tcPr>
            <w:tcW w:type="dxa" w:w="2160"/>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CC0000"/>
                <w:sz w:val="19"/>
              </w:rPr>
              <w:t>Inactive (&gt;30d)</w:t>
            </w:r>
          </w:p>
        </w:tc>
      </w:tr>
      <w:tr>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JRMED09</w:t>
            </w:r>
          </w:p>
        </w:tc>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Windows 11 Pro</w:t>
            </w:r>
          </w:p>
        </w:tc>
        <w:tc>
          <w:tcPr>
            <w:tcW w:type="dxa" w:w="216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2026-01-19</w:t>
            </w:r>
          </w:p>
        </w:tc>
        <w:tc>
          <w:tcPr>
            <w:tcW w:type="dxa" w:w="216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CC0000"/>
                <w:sz w:val="19"/>
              </w:rPr>
              <w:t>Inactive (&gt;30d)</w:t>
            </w:r>
          </w:p>
        </w:tc>
      </w:tr>
    </w:tbl>
    <w:p>
      <w:pPr>
        <w:spacing w:after="160"/>
      </w:pPr>
      <w:r>
        <w:rPr>
          <w:rFonts w:ascii="Open Sans" w:hAnsi="Open Sans"/>
          <w:b w:val="0"/>
          <w:i w:val="0"/>
          <w:color w:val="59595B"/>
          <w:sz w:val="22"/>
        </w:rPr>
        <w:t>Recommended action: confirm whether each computer is still in service. If retired or reimaged, please notify Technijian to decommission the agent. If still in service, the agent likely needs to be reinstalled or the device powered on.</w:t>
      </w:r>
    </w:p>
    <w:p/>
    <w:p>
      <w:pPr>
        <w:spacing w:after="160"/>
      </w:pPr>
      <w:r>
        <w:rPr>
          <w:rFonts w:ascii="Open Sans" w:hAnsi="Open Sans"/>
          <w:b/>
          <w:i w:val="0"/>
          <w:color w:val="1A1A2E"/>
          <w:sz w:val="24"/>
        </w:rPr>
        <w:t>Endpoints with Defender or firewall issues</w:t>
      </w:r>
    </w:p>
    <w:tbl>
      <w:tblPr>
        <w:tblW w:type="auto" w:w="0"/>
        <w:tblLayout w:type="fixed"/>
        <w:tblLook w:firstColumn="1" w:firstRow="1" w:lastColumn="0" w:lastRow="0" w:noHBand="0" w:noVBand="1" w:val="04A0"/>
      </w:tblPr>
      <w:tblGrid>
        <w:gridCol w:w="2340"/>
        <w:gridCol w:w="2340"/>
        <w:gridCol w:w="2340"/>
        <w:gridCol w:w="2340"/>
      </w:tblGrid>
      <w:tr>
        <w:tc>
          <w:tcPr>
            <w:tcW w:type="dxa" w:w="288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Hostname</w:t>
            </w:r>
          </w:p>
        </w:tc>
        <w:tc>
          <w:tcPr>
            <w:tcW w:type="dxa" w:w="216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Defender Status</w:t>
            </w:r>
          </w:p>
        </w:tc>
        <w:tc>
          <w:tcPr>
            <w:tcW w:type="dxa" w:w="2448"/>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Defender Policy</w:t>
            </w:r>
          </w:p>
        </w:tc>
        <w:tc>
          <w:tcPr>
            <w:tcW w:type="dxa" w:w="1872"/>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Firewall</w:t>
            </w:r>
          </w:p>
        </w:tc>
      </w:tr>
      <w:tr>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WKORX69</w:t>
            </w:r>
          </w:p>
        </w:tc>
        <w:tc>
          <w:tcPr>
            <w:tcW w:type="dxa" w:w="2160"/>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67D4B"/>
                <w:sz w:val="19"/>
              </w:rPr>
              <w:t>Unmanaged</w:t>
            </w:r>
          </w:p>
        </w:tc>
        <w:tc>
          <w:tcPr>
            <w:tcW w:type="dxa" w:w="244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Non Compliant</w:t>
            </w:r>
          </w:p>
        </w:tc>
        <w:tc>
          <w:tcPr>
            <w:tcW w:type="dxa" w:w="187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Disabled</w:t>
            </w:r>
          </w:p>
        </w:tc>
      </w:tr>
      <w:tr>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WKORX-05</w:t>
            </w:r>
          </w:p>
        </w:tc>
        <w:tc>
          <w:tcPr>
            <w:tcW w:type="dxa" w:w="216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CC0000"/>
                <w:sz w:val="19"/>
              </w:rPr>
              <w:t>Unhealthy</w:t>
            </w:r>
          </w:p>
        </w:tc>
        <w:tc>
          <w:tcPr>
            <w:tcW w:type="dxa" w:w="244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Compliant</w:t>
            </w:r>
          </w:p>
        </w:tc>
        <w:tc>
          <w:tcPr>
            <w:tcW w:type="dxa" w:w="187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Disabled</w:t>
            </w:r>
          </w:p>
        </w:tc>
      </w:tr>
      <w:tr>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ORX-DC-SFTP-01</w:t>
            </w:r>
          </w:p>
        </w:tc>
        <w:tc>
          <w:tcPr>
            <w:tcW w:type="dxa" w:w="2160"/>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CC0000"/>
                <w:sz w:val="19"/>
              </w:rPr>
              <w:t>Unhealthy</w:t>
            </w:r>
          </w:p>
        </w:tc>
        <w:tc>
          <w:tcPr>
            <w:tcW w:type="dxa" w:w="244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Compliant</w:t>
            </w:r>
          </w:p>
        </w:tc>
        <w:tc>
          <w:tcPr>
            <w:tcW w:type="dxa" w:w="187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Disabled</w:t>
            </w:r>
          </w:p>
        </w:tc>
      </w:tr>
      <w:tr>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ORX-DC-VDI-005</w:t>
            </w:r>
          </w:p>
        </w:tc>
        <w:tc>
          <w:tcPr>
            <w:tcW w:type="dxa" w:w="216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67D4B"/>
                <w:sz w:val="19"/>
              </w:rPr>
              <w:t>Unmanaged</w:t>
            </w:r>
          </w:p>
        </w:tc>
        <w:tc>
          <w:tcPr>
            <w:tcW w:type="dxa" w:w="244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Non Compliant</w:t>
            </w:r>
          </w:p>
        </w:tc>
        <w:tc>
          <w:tcPr>
            <w:tcW w:type="dxa" w:w="187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Disabled</w:t>
            </w:r>
          </w:p>
        </w:tc>
      </w:tr>
      <w:tr>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ORX-DC-VDI-004</w:t>
            </w:r>
          </w:p>
        </w:tc>
        <w:tc>
          <w:tcPr>
            <w:tcW w:type="dxa" w:w="2160"/>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67D4B"/>
                <w:sz w:val="19"/>
              </w:rPr>
              <w:t>Unmanaged</w:t>
            </w:r>
          </w:p>
        </w:tc>
        <w:tc>
          <w:tcPr>
            <w:tcW w:type="dxa" w:w="244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Non Compliant</w:t>
            </w:r>
          </w:p>
        </w:tc>
        <w:tc>
          <w:tcPr>
            <w:tcW w:type="dxa" w:w="187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Disabled</w:t>
            </w:r>
          </w:p>
        </w:tc>
      </w:tr>
      <w:tr>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ORX-DC-VDI-003</w:t>
            </w:r>
          </w:p>
        </w:tc>
        <w:tc>
          <w:tcPr>
            <w:tcW w:type="dxa" w:w="216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67D4B"/>
                <w:sz w:val="19"/>
              </w:rPr>
              <w:t>Unmanaged</w:t>
            </w:r>
          </w:p>
        </w:tc>
        <w:tc>
          <w:tcPr>
            <w:tcW w:type="dxa" w:w="244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Non Compliant</w:t>
            </w:r>
          </w:p>
        </w:tc>
        <w:tc>
          <w:tcPr>
            <w:tcW w:type="dxa" w:w="187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Disabled</w:t>
            </w:r>
          </w:p>
        </w:tc>
      </w:tr>
      <w:tr>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ORX-DC-OPSPRB</w:t>
            </w:r>
          </w:p>
        </w:tc>
        <w:tc>
          <w:tcPr>
            <w:tcW w:type="dxa" w:w="2160"/>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CC0000"/>
                <w:sz w:val="19"/>
              </w:rPr>
              <w:t>Unhealthy</w:t>
            </w:r>
          </w:p>
        </w:tc>
        <w:tc>
          <w:tcPr>
            <w:tcW w:type="dxa" w:w="244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Compliant</w:t>
            </w:r>
          </w:p>
        </w:tc>
        <w:tc>
          <w:tcPr>
            <w:tcW w:type="dxa" w:w="187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Enabled</w:t>
            </w:r>
          </w:p>
        </w:tc>
      </w:tr>
      <w:tr>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WKORX72</w:t>
            </w:r>
          </w:p>
        </w:tc>
        <w:tc>
          <w:tcPr>
            <w:tcW w:type="dxa" w:w="216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CC0000"/>
                <w:sz w:val="19"/>
              </w:rPr>
              <w:t>Unhealthy</w:t>
            </w:r>
          </w:p>
        </w:tc>
        <w:tc>
          <w:tcPr>
            <w:tcW w:type="dxa" w:w="244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Compliant</w:t>
            </w:r>
          </w:p>
        </w:tc>
        <w:tc>
          <w:tcPr>
            <w:tcW w:type="dxa" w:w="187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Enabled</w:t>
            </w:r>
          </w:p>
        </w:tc>
      </w:tr>
      <w:tr>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ORX-DC-VDI-001</w:t>
            </w:r>
          </w:p>
        </w:tc>
        <w:tc>
          <w:tcPr>
            <w:tcW w:type="dxa" w:w="2160"/>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67D4B"/>
                <w:sz w:val="19"/>
              </w:rPr>
              <w:t>Unmanaged</w:t>
            </w:r>
          </w:p>
        </w:tc>
        <w:tc>
          <w:tcPr>
            <w:tcW w:type="dxa" w:w="244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Non Compliant</w:t>
            </w:r>
          </w:p>
        </w:tc>
        <w:tc>
          <w:tcPr>
            <w:tcW w:type="dxa" w:w="187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Disabled</w:t>
            </w:r>
          </w:p>
        </w:tc>
      </w:tr>
      <w:tr>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ORX-DC-VDI-002</w:t>
            </w:r>
          </w:p>
        </w:tc>
        <w:tc>
          <w:tcPr>
            <w:tcW w:type="dxa" w:w="216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67D4B"/>
                <w:sz w:val="19"/>
              </w:rPr>
              <w:t>Unmanaged</w:t>
            </w:r>
          </w:p>
        </w:tc>
        <w:tc>
          <w:tcPr>
            <w:tcW w:type="dxa" w:w="244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Non Compliant</w:t>
            </w:r>
          </w:p>
        </w:tc>
        <w:tc>
          <w:tcPr>
            <w:tcW w:type="dxa" w:w="187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Disabled</w:t>
            </w:r>
          </w:p>
        </w:tc>
      </w:tr>
      <w:tr>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ORX-DC-3CX-01</w:t>
            </w:r>
          </w:p>
        </w:tc>
        <w:tc>
          <w:tcPr>
            <w:tcW w:type="dxa" w:w="2160"/>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CC0000"/>
                <w:sz w:val="19"/>
              </w:rPr>
              <w:t>Unhealthy</w:t>
            </w:r>
          </w:p>
        </w:tc>
        <w:tc>
          <w:tcPr>
            <w:tcW w:type="dxa" w:w="244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Compliant</w:t>
            </w:r>
          </w:p>
        </w:tc>
        <w:tc>
          <w:tcPr>
            <w:tcW w:type="dxa" w:w="187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Disabled</w:t>
            </w:r>
          </w:p>
        </w:tc>
      </w:tr>
      <w:tr>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OXPTEST</w:t>
            </w:r>
          </w:p>
        </w:tc>
        <w:tc>
          <w:tcPr>
            <w:tcW w:type="dxa" w:w="216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67D4B"/>
                <w:sz w:val="19"/>
              </w:rPr>
              <w:t>Unmanaged</w:t>
            </w:r>
          </w:p>
        </w:tc>
        <w:tc>
          <w:tcPr>
            <w:tcW w:type="dxa" w:w="244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Compliant</w:t>
            </w:r>
          </w:p>
        </w:tc>
        <w:tc>
          <w:tcPr>
            <w:tcW w:type="dxa" w:w="187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Disabled</w:t>
            </w:r>
          </w:p>
        </w:tc>
      </w:tr>
      <w:tr>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WKORX66</w:t>
            </w:r>
          </w:p>
        </w:tc>
        <w:tc>
          <w:tcPr>
            <w:tcW w:type="dxa" w:w="2160"/>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CC0000"/>
                <w:sz w:val="19"/>
              </w:rPr>
              <w:t>Unhealthy</w:t>
            </w:r>
          </w:p>
        </w:tc>
        <w:tc>
          <w:tcPr>
            <w:tcW w:type="dxa" w:w="244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Compliant</w:t>
            </w:r>
          </w:p>
        </w:tc>
        <w:tc>
          <w:tcPr>
            <w:tcW w:type="dxa" w:w="187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Enabled</w:t>
            </w:r>
          </w:p>
        </w:tc>
      </w:tr>
      <w:tr>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ORX-DC-IIS2</w:t>
            </w:r>
          </w:p>
        </w:tc>
        <w:tc>
          <w:tcPr>
            <w:tcW w:type="dxa" w:w="216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CC0000"/>
                <w:sz w:val="19"/>
              </w:rPr>
              <w:t>Unhealthy</w:t>
            </w:r>
          </w:p>
        </w:tc>
        <w:tc>
          <w:tcPr>
            <w:tcW w:type="dxa" w:w="244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Compliant</w:t>
            </w:r>
          </w:p>
        </w:tc>
        <w:tc>
          <w:tcPr>
            <w:tcW w:type="dxa" w:w="187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Disabled</w:t>
            </w:r>
          </w:p>
        </w:tc>
      </w:tr>
      <w:tr>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ORX-DC-IIS1</w:t>
            </w:r>
          </w:p>
        </w:tc>
        <w:tc>
          <w:tcPr>
            <w:tcW w:type="dxa" w:w="2160"/>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CC0000"/>
                <w:sz w:val="19"/>
              </w:rPr>
              <w:t>Unhealthy</w:t>
            </w:r>
          </w:p>
        </w:tc>
        <w:tc>
          <w:tcPr>
            <w:tcW w:type="dxa" w:w="244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Compliant</w:t>
            </w:r>
          </w:p>
        </w:tc>
        <w:tc>
          <w:tcPr>
            <w:tcW w:type="dxa" w:w="187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Disabled</w:t>
            </w:r>
          </w:p>
        </w:tc>
      </w:tr>
      <w:tr>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MacBook Pro (10)</w:t>
            </w:r>
          </w:p>
        </w:tc>
        <w:tc>
          <w:tcPr>
            <w:tcW w:type="dxa" w:w="216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67D4B"/>
                <w:sz w:val="19"/>
              </w:rPr>
              <w:t>Incompatible</w:t>
            </w:r>
          </w:p>
        </w:tc>
        <w:tc>
          <w:tcPr>
            <w:tcW w:type="dxa" w:w="244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Unknown</w:t>
            </w:r>
          </w:p>
        </w:tc>
        <w:tc>
          <w:tcPr>
            <w:tcW w:type="dxa" w:w="187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Disabled</w:t>
            </w:r>
          </w:p>
        </w:tc>
      </w:tr>
      <w:tr>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ORX-DC-TS-04</w:t>
            </w:r>
          </w:p>
        </w:tc>
        <w:tc>
          <w:tcPr>
            <w:tcW w:type="dxa" w:w="2160"/>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CC0000"/>
                <w:sz w:val="19"/>
              </w:rPr>
              <w:t>Unhealthy</w:t>
            </w:r>
          </w:p>
        </w:tc>
        <w:tc>
          <w:tcPr>
            <w:tcW w:type="dxa" w:w="244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Compliant</w:t>
            </w:r>
          </w:p>
        </w:tc>
        <w:tc>
          <w:tcPr>
            <w:tcW w:type="dxa" w:w="187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Disabled</w:t>
            </w:r>
          </w:p>
        </w:tc>
      </w:tr>
      <w:tr>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ORX-DC-APP-04</w:t>
            </w:r>
          </w:p>
        </w:tc>
        <w:tc>
          <w:tcPr>
            <w:tcW w:type="dxa" w:w="216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CC0000"/>
                <w:sz w:val="19"/>
              </w:rPr>
              <w:t>Unhealthy</w:t>
            </w:r>
          </w:p>
        </w:tc>
        <w:tc>
          <w:tcPr>
            <w:tcW w:type="dxa" w:w="244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Compliant</w:t>
            </w:r>
          </w:p>
        </w:tc>
        <w:tc>
          <w:tcPr>
            <w:tcW w:type="dxa" w:w="187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Disabled</w:t>
            </w:r>
          </w:p>
        </w:tc>
      </w:tr>
      <w:tr>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ORX-DC-SQL-02</w:t>
            </w:r>
          </w:p>
        </w:tc>
        <w:tc>
          <w:tcPr>
            <w:tcW w:type="dxa" w:w="2160"/>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CC0000"/>
                <w:sz w:val="19"/>
              </w:rPr>
              <w:t>Unhealthy</w:t>
            </w:r>
          </w:p>
        </w:tc>
        <w:tc>
          <w:tcPr>
            <w:tcW w:type="dxa" w:w="244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Compliant</w:t>
            </w:r>
          </w:p>
        </w:tc>
        <w:tc>
          <w:tcPr>
            <w:tcW w:type="dxa" w:w="187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Disabled</w:t>
            </w:r>
          </w:p>
        </w:tc>
      </w:tr>
      <w:tr>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ORX-DC-SQL-03</w:t>
            </w:r>
          </w:p>
        </w:tc>
        <w:tc>
          <w:tcPr>
            <w:tcW w:type="dxa" w:w="216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CC0000"/>
                <w:sz w:val="19"/>
              </w:rPr>
              <w:t>Unhealthy</w:t>
            </w:r>
          </w:p>
        </w:tc>
        <w:tc>
          <w:tcPr>
            <w:tcW w:type="dxa" w:w="244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Compliant</w:t>
            </w:r>
          </w:p>
        </w:tc>
        <w:tc>
          <w:tcPr>
            <w:tcW w:type="dxa" w:w="187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Disabled</w:t>
            </w:r>
          </w:p>
        </w:tc>
      </w:tr>
      <w:tr>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ORX-DC-FS-01</w:t>
            </w:r>
          </w:p>
        </w:tc>
        <w:tc>
          <w:tcPr>
            <w:tcW w:type="dxa" w:w="2160"/>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CC0000"/>
                <w:sz w:val="19"/>
              </w:rPr>
              <w:t>Unhealthy</w:t>
            </w:r>
          </w:p>
        </w:tc>
        <w:tc>
          <w:tcPr>
            <w:tcW w:type="dxa" w:w="244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Compliant</w:t>
            </w:r>
          </w:p>
        </w:tc>
        <w:tc>
          <w:tcPr>
            <w:tcW w:type="dxa" w:w="187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Disabled</w:t>
            </w:r>
          </w:p>
        </w:tc>
      </w:tr>
      <w:tr>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ORX-DC-AD-03</w:t>
            </w:r>
          </w:p>
        </w:tc>
        <w:tc>
          <w:tcPr>
            <w:tcW w:type="dxa" w:w="216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CC0000"/>
                <w:sz w:val="19"/>
              </w:rPr>
              <w:t>Unhealthy</w:t>
            </w:r>
          </w:p>
        </w:tc>
        <w:tc>
          <w:tcPr>
            <w:tcW w:type="dxa" w:w="244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Compliant</w:t>
            </w:r>
          </w:p>
        </w:tc>
        <w:tc>
          <w:tcPr>
            <w:tcW w:type="dxa" w:w="187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Disabled</w:t>
            </w:r>
          </w:p>
        </w:tc>
      </w:tr>
      <w:tr>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ORX-DC-AD-04</w:t>
            </w:r>
          </w:p>
        </w:tc>
        <w:tc>
          <w:tcPr>
            <w:tcW w:type="dxa" w:w="2160"/>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CC0000"/>
                <w:sz w:val="19"/>
              </w:rPr>
              <w:t>Unhealthy</w:t>
            </w:r>
          </w:p>
        </w:tc>
        <w:tc>
          <w:tcPr>
            <w:tcW w:type="dxa" w:w="244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Compliant</w:t>
            </w:r>
          </w:p>
        </w:tc>
        <w:tc>
          <w:tcPr>
            <w:tcW w:type="dxa" w:w="187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Disabled</w:t>
            </w:r>
          </w:p>
        </w:tc>
      </w:tr>
      <w:tr>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ORX-DC-TS-03</w:t>
            </w:r>
          </w:p>
        </w:tc>
        <w:tc>
          <w:tcPr>
            <w:tcW w:type="dxa" w:w="216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CC0000"/>
                <w:sz w:val="19"/>
              </w:rPr>
              <w:t>Unhealthy</w:t>
            </w:r>
          </w:p>
        </w:tc>
        <w:tc>
          <w:tcPr>
            <w:tcW w:type="dxa" w:w="244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Compliant</w:t>
            </w:r>
          </w:p>
        </w:tc>
        <w:tc>
          <w:tcPr>
            <w:tcW w:type="dxa" w:w="187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Disabled</w:t>
            </w:r>
          </w:p>
        </w:tc>
      </w:tr>
      <w:tr>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ORX-DC-FS-02</w:t>
            </w:r>
          </w:p>
        </w:tc>
        <w:tc>
          <w:tcPr>
            <w:tcW w:type="dxa" w:w="2160"/>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CC0000"/>
                <w:sz w:val="19"/>
              </w:rPr>
              <w:t>Unhealthy</w:t>
            </w:r>
          </w:p>
        </w:tc>
        <w:tc>
          <w:tcPr>
            <w:tcW w:type="dxa" w:w="244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Compliant</w:t>
            </w:r>
          </w:p>
        </w:tc>
        <w:tc>
          <w:tcPr>
            <w:tcW w:type="dxa" w:w="187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Disabled</w:t>
            </w:r>
          </w:p>
        </w:tc>
      </w:tr>
      <w:tr>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OXPLIVE</w:t>
            </w:r>
          </w:p>
        </w:tc>
        <w:tc>
          <w:tcPr>
            <w:tcW w:type="dxa" w:w="216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67D4B"/>
                <w:sz w:val="19"/>
              </w:rPr>
              <w:t>Unmanaged</w:t>
            </w:r>
          </w:p>
        </w:tc>
        <w:tc>
          <w:tcPr>
            <w:tcW w:type="dxa" w:w="244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Compliant</w:t>
            </w:r>
          </w:p>
        </w:tc>
        <w:tc>
          <w:tcPr>
            <w:tcW w:type="dxa" w:w="187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Disabled</w:t>
            </w:r>
          </w:p>
        </w:tc>
      </w:tr>
      <w:tr>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ORX-DC-APP-01</w:t>
            </w:r>
          </w:p>
        </w:tc>
        <w:tc>
          <w:tcPr>
            <w:tcW w:type="dxa" w:w="2160"/>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67D4B"/>
                <w:sz w:val="19"/>
              </w:rPr>
              <w:t>Unmanaged</w:t>
            </w:r>
          </w:p>
        </w:tc>
        <w:tc>
          <w:tcPr>
            <w:tcW w:type="dxa" w:w="244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Compliant</w:t>
            </w:r>
          </w:p>
        </w:tc>
        <w:tc>
          <w:tcPr>
            <w:tcW w:type="dxa" w:w="187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Disabled</w:t>
            </w:r>
          </w:p>
        </w:tc>
      </w:tr>
      <w:tr>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WKORX57</w:t>
            </w:r>
          </w:p>
        </w:tc>
        <w:tc>
          <w:tcPr>
            <w:tcW w:type="dxa" w:w="216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67D4B"/>
                <w:sz w:val="19"/>
              </w:rPr>
              <w:t>Unmanaged</w:t>
            </w:r>
          </w:p>
        </w:tc>
        <w:tc>
          <w:tcPr>
            <w:tcW w:type="dxa" w:w="244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Non Compliant</w:t>
            </w:r>
          </w:p>
        </w:tc>
        <w:tc>
          <w:tcPr>
            <w:tcW w:type="dxa" w:w="187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Disabled</w:t>
            </w:r>
          </w:p>
        </w:tc>
      </w:tr>
      <w:tr>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LPJRM01</w:t>
            </w:r>
          </w:p>
        </w:tc>
        <w:tc>
          <w:tcPr>
            <w:tcW w:type="dxa" w:w="2160"/>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67D4B"/>
                <w:sz w:val="19"/>
              </w:rPr>
              <w:t>Unmanaged</w:t>
            </w:r>
          </w:p>
        </w:tc>
        <w:tc>
          <w:tcPr>
            <w:tcW w:type="dxa" w:w="244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Non Compliant</w:t>
            </w:r>
          </w:p>
        </w:tc>
        <w:tc>
          <w:tcPr>
            <w:tcW w:type="dxa" w:w="187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Disabled</w:t>
            </w:r>
          </w:p>
        </w:tc>
      </w:tr>
      <w:tr>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WKORX59</w:t>
            </w:r>
          </w:p>
        </w:tc>
        <w:tc>
          <w:tcPr>
            <w:tcW w:type="dxa" w:w="216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67D4B"/>
                <w:sz w:val="19"/>
              </w:rPr>
              <w:t>Unmanaged</w:t>
            </w:r>
          </w:p>
        </w:tc>
        <w:tc>
          <w:tcPr>
            <w:tcW w:type="dxa" w:w="244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Non Compliant</w:t>
            </w:r>
          </w:p>
        </w:tc>
        <w:tc>
          <w:tcPr>
            <w:tcW w:type="dxa" w:w="187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Disabled</w:t>
            </w:r>
          </w:p>
        </w:tc>
      </w:tr>
    </w:tbl>
    <w:p>
      <w:pPr>
        <w:spacing w:after="160"/>
      </w:pPr>
      <w:r>
        <w:rPr>
          <w:rFonts w:ascii="Open Sans" w:hAnsi="Open Sans"/>
          <w:b w:val="0"/>
          <w:i w:val="0"/>
          <w:color w:val="59595B"/>
          <w:sz w:val="20"/>
        </w:rPr>
        <w:t>... plus 19 more. Full list available on request.</w:t>
      </w:r>
    </w:p>
    <w:p>
      <w:pPr>
        <w:spacing w:after="160"/>
      </w:pPr>
      <w:r>
        <w:rPr>
          <w:rFonts w:ascii="Open Sans" w:hAnsi="Open Sans"/>
          <w:b w:val="0"/>
          <w:i w:val="0"/>
          <w:color w:val="59595B"/>
          <w:sz w:val="22"/>
        </w:rPr>
        <w:t>Recommended action: review the listed endpoints with your Technijian contact to schedule remediation. Common fixes include re-enabling Microsoft Defender, applying a missing Group Policy / Intune setting, or re-enabling Windows Firewall.</w:t>
      </w:r>
    </w:p>
    <w:p/>
    <w:tbl>
      <w:tblPr>
        <w:tblW w:type="auto" w:w="0"/>
        <w:tblLayout w:type="fixed"/>
        <w:tblLook w:firstColumn="1" w:firstRow="1" w:lastColumn="0" w:lastRow="0" w:noHBand="0" w:noVBand="1" w:val="04A0"/>
      </w:tblPr>
      <w:tblGrid>
        <w:gridCol w:w="94"/>
        <w:gridCol w:w="8976"/>
      </w:tblGrid>
      <w:tr>
        <w:tc>
          <w:tcPr>
            <w:tcW w:type="dxa" w:w="94"/>
            <w:shd w:val="clear" w:color="auto" w:fill="F67D4B"/>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F67D4B"/>
                <w:sz w:val="28"/>
              </w:rPr>
              <w:t xml:space="preserve">  About This Report</w:t>
            </w:r>
          </w:p>
        </w:tc>
      </w:tr>
    </w:tbl>
    <w:p>
      <w:pPr>
        <w:spacing w:after="160"/>
      </w:pPr>
      <w:r>
        <w:rPr>
          <w:rFonts w:ascii="Open Sans" w:hAnsi="Open Sans"/>
          <w:b w:val="0"/>
          <w:i w:val="0"/>
          <w:color w:val="59595B"/>
          <w:sz w:val="20"/>
        </w:rPr>
        <w:t>Technijian provides 24x7 managed detection and response (MDR) on top of the Huntress security platform. Activity captured here reflects data pulled directly from the Huntress API for your tenant. Endpoint inventory is a point-in-time snapshot taken at report generation; incident, signal, and report data are filtered to the calendar month above.</w:t>
      </w:r>
    </w:p>
    <w:p>
      <w:pPr>
        <w:spacing w:after="160"/>
      </w:pPr>
      <w:r>
        <w:rPr>
          <w:rFonts w:ascii="Open Sans" w:hAnsi="Open Sans"/>
          <w:b w:val="0"/>
          <w:i w:val="0"/>
          <w:color w:val="59595B"/>
          <w:sz w:val="20"/>
        </w:rPr>
        <w:t>Technijian  |  18 Technology Dr., Ste 141, Irvine, CA 92618  |  949.379.8500  |  technijian.com</w:t>
      </w:r>
    </w:p>
    <w:sectPr w:rsidR="00FC693F" w:rsidRPr="0006063C" w:rsidSect="00034616">
      <w:headerReference w:type="default" r:id="rId9"/>
      <w:footerReference w:type="default" r:id="rId10"/>
      <w:pgSz w:w="12240" w:h="15840"/>
      <w:pgMar w:top="1440"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Open Sans" w:hAnsi="Open Sans"/>
        <w:b w:val="0"/>
        <w:i w:val="0"/>
        <w:color w:val="59595B"/>
        <w:sz w:val="18"/>
      </w:rPr>
      <w:t>Technijian  |  18 Technology Dr., Ste 141, Irvine, CA 92618  |  949.379.8500  |  technijian.com</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drawing>
        <wp:inline xmlns:a="http://schemas.openxmlformats.org/drawingml/2006/main" xmlns:pic="http://schemas.openxmlformats.org/drawingml/2006/picture">
          <wp:extent cx="1554480" cy="323850"/>
          <wp:docPr id="1" name="Picture 1"/>
          <wp:cNvGraphicFramePr>
            <a:graphicFrameLocks noChangeAspect="1"/>
          </wp:cNvGraphicFramePr>
          <a:graphic>
            <a:graphicData uri="http://schemas.openxmlformats.org/drawingml/2006/picture">
              <pic:pic>
                <pic:nvPicPr>
                  <pic:cNvPr id="0" name="technijian-logo-full-color-600x125.png"/>
                  <pic:cNvPicPr/>
                </pic:nvPicPr>
                <pic:blipFill>
                  <a:blip r:embed="rId1"/>
                  <a:stretch>
                    <a:fillRect/>
                  </a:stretch>
                </pic:blipFill>
                <pic:spPr>
                  <a:xfrm>
                    <a:off x="0" y="0"/>
                    <a:ext cx="1554480" cy="323850"/>
                  </a:xfrm>
                  <a:prstGeom prst="rect"/>
                </pic:spPr>
              </pic:pic>
            </a:graphicData>
          </a:graphic>
        </wp:inline>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Open Sans" w:hAnsi="Open Sans"/>
      <w:color w:val="59595B"/>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