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Brandywine Homes — April 2026</w:t>
      </w:r>
    </w:p>
    <w:p>
      <w:pPr>
        <w:jc w:val="center"/>
      </w:pPr>
      <w:r>
        <w:rPr>
          <w:rFonts w:ascii="Open Sans" w:hAnsi="Open Sans"/>
          <w:b w:val="0"/>
          <w:i w:val="0"/>
          <w:color w:val="59595B"/>
          <w:sz w:val="24"/>
        </w:rPr>
        <w:t>Reporting period: 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90</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3</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90 alert(s) were generated across the reporting period; 3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Brandywine Homes during April 2026. Alert and event counts are aggregated from daily Sophos Central Partner API pulls; firewall configuration reflects the most recent on-box API snapshot (2026-05-01).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V010012FG8J8297</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64.58.142.218, 98.174.153.35</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Configuration snapshot captured 2026-05-01 via the Sophos XGS on-box API. Reflects the current state of interfaces, zones, routing, DHCP, NAT, and firewall rules.</w:t>
      </w:r>
    </w:p>
    <w:p>
      <w:pPr>
        <w:spacing w:after="160"/>
      </w:pPr>
      <w:r>
        <w:rPr>
          <w:rFonts w:ascii="Open Sans" w:hAnsi="Open Sans"/>
          <w:b/>
          <w:i w:val="0"/>
          <w:color w:val="59595B"/>
          <w:sz w:val="22"/>
        </w:rPr>
        <w:t>Network Interfaces: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IP Address</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Netmask</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10.1.1.1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255.255.255.0</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PortB</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64.58.142.218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PortC</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98.174.153.35</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255.255.255.248</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Connected, 10000 Mbps - Full Duplex, FEC off</w:t>
            </w:r>
          </w:p>
        </w:tc>
      </w:tr>
    </w:tbl>
    <w:p>
      <w:pPr>
        <w:spacing w:after="160"/>
      </w:pPr>
      <w:r>
        <w:rPr>
          <w:rFonts w:ascii="Open Sans" w:hAnsi="Open Sans"/>
          <w:b/>
          <w:i w:val="0"/>
          <w:color w:val="59595B"/>
          <w:sz w:val="22"/>
        </w:rPr>
        <w:t>Zones:</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Zone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LOCAL</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w:t>
            </w:r>
          </w:p>
        </w:tc>
        <w:tc>
          <w:tcPr>
            <w:tcW w:type="dxa" w:w="43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WiFi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w:t>
            </w:r>
          </w:p>
        </w:tc>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Firewall Rules (7 total):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Source Zone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 Zone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Bypass_Test</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BWH-HQ-IIS-01_1757265006699</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 to LAN</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VPN</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RingCentral</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firewall policy for MTA</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#Default_Network_Policy</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i w:val="0"/>
          <w:color w:val="59595B"/>
          <w:sz w:val="22"/>
        </w:rPr>
        <w:t>NAT Rules (8 total):</w:t>
      </w:r>
    </w:p>
    <w:tbl>
      <w:tblPr>
        <w:tblW w:type="auto" w:w="0"/>
        <w:tblLayout w:type="fixed"/>
        <w:tblLook w:firstColumn="1" w:firstRow="1" w:lastColumn="0" w:lastRow="0" w:noHBand="0" w:noVBand="1" w:val="04A0"/>
      </w:tblPr>
      <w:tblGrid>
        <w:gridCol w:w="2340"/>
        <w:gridCol w:w="2340"/>
        <w:gridCol w:w="2340"/>
        <w:gridCol w:w="234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Type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Original IP</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Translated IP</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DNAT to BWH-HQ-IIS-01_1757265006699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Loopback_NAT#6_DNAT to BWH-HQ-IIS-01_1757265006699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Reflexive_NAT#6_DNAT to BWH-HQ-IIS-01_175726500669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VPN to LAN</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VPN</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#NAT_Default_Network_Policy</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Auto added NAT rule for MTA</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SNAT IPv4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DHCP Scopes: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Scope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Start IP</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 IP</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Lease</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BWH-HQ</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PortA</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p>
      <w:pPr>
        <w:spacing w:after="160"/>
      </w:pPr>
      <w:r>
        <w:rPr>
          <w:rFonts w:ascii="Open Sans" w:hAnsi="Open Sans"/>
          <w:b/>
          <w:i w:val="0"/>
          <w:color w:val="59595B"/>
          <w:sz w:val="22"/>
        </w:rPr>
        <w:t>Static Routes (1):</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Destination</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Mask</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Gateway</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Interface</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r>
      <w:tr>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p>
      <w:pPr>
        <w:spacing w:after="160"/>
      </w:pPr>
      <w:r>
        <w:rPr>
          <w:rFonts w:ascii="Open Sans" w:hAnsi="Open Sans"/>
          <w:b/>
          <w:i w:val="0"/>
          <w:color w:val="59595B"/>
          <w:sz w:val="22"/>
        </w:rPr>
        <w:t>IPS / Intrusion Prevention Policies (10):</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generalpolicy</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lantowan_strict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Strict policy for LAN to WAN Traffic</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lantowan_general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for LAN to WAN Traffic</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General policy to scan traffic flowing to DMZ</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DMZ; Primarily intended to secure server(s) hosted in the DMZ</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WAN TO LAN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WAN to LAN; Primarily intended to secure server(s) hosted in the LAN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LAN</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LAN; Primarily intended to secure server(s) hosted in the LAN zone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DMZ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DMZ to WAN; Primarily intended to secure the DMZ-based client(s)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DMZ</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DMZ; Primarily intended to secure the LAN-based client(s) and DMZ-based server(s)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LAN TO WAN</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default IPS policy template to scan the traffic flowing from LAN to WAN; Primarily intended to secure LAN-based client(s)</w:t>
            </w:r>
          </w:p>
        </w:tc>
      </w:tr>
    </w:tbl>
    <w:p>
      <w:pPr>
        <w:spacing w:after="160"/>
      </w:pPr>
      <w:r>
        <w:rPr>
          <w:rFonts w:ascii="Open Sans" w:hAnsi="Open Sans"/>
          <w:b/>
          <w:i w:val="0"/>
          <w:color w:val="59595B"/>
          <w:sz w:val="22"/>
        </w:rPr>
        <w:t>Web Filter Policies (12):</w:t>
      </w:r>
    </w:p>
    <w:tbl>
      <w:tblPr>
        <w:tblW w:type="auto" w:w="0"/>
        <w:tblLayout w:type="fixed"/>
        <w:tblLook w:firstColumn="1" w:firstRow="1" w:lastColumn="0" w:lastRow="0" w:noHBand="0" w:noVBand="1" w:val="04A0"/>
      </w:tblPr>
      <w:tblGrid>
        <w:gridCol w:w="4680"/>
        <w:gridCol w:w="468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Policy Name</w:t>
            </w:r>
          </w:p>
        </w:tc>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Description</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 or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and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Mail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web mail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Online Chat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online chat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Allow All</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Unrestricted web access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All</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 user web activity will be blocked</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CIPA Compliance</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categories necessary for compliance with the Children's Internet Protection Act</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web uploads</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Restrict users from uploading content to any site</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Workplace 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categories most commonly unwanted in professional environments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Ads or Explicit Content</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advertisements and sexually explicit sites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 Games Ads or Explicit Content</w:t>
            </w:r>
          </w:p>
        </w:tc>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Deny access to games, advertisements, and sexually explicit sites</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Default Policy</w:t>
            </w:r>
          </w:p>
        </w:tc>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typical starter policy with options suitable for many organizations</w:t>
            </w:r>
          </w:p>
        </w:tc>
      </w:tr>
    </w:tbl>
    <w:p>
      <w:pPr>
        <w:spacing w:after="160"/>
      </w:pPr>
      <w:r>
        <w:rPr>
          <w:rFonts w:ascii="Open Sans" w:hAnsi="Open Sans"/>
          <w:b/>
          <w:i w:val="0"/>
          <w:color w:val="59595B"/>
          <w:sz w:val="22"/>
        </w:rPr>
        <w:t>SSL/TLS Inspection Rules (1):</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Rule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Action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Exclusions by website or category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bl>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34</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62</w:t>
            </w:r>
          </w:p>
          <w:p>
            <w:pPr>
              <w:spacing w:before="0" w:after="240"/>
              <w:jc w:val="center"/>
            </w:pPr>
            <w:r>
              <w:rPr>
                <w:rFonts w:ascii="Open Sans" w:hAnsi="Open Sans"/>
                <w:b w:val="0"/>
                <w:i w:val="0"/>
                <w:color w:val="59595B"/>
                <w:sz w:val="20"/>
              </w:rPr>
              <w:t>Service Objects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April 2026: 90.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90</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3</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30</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connection to Sophos Central is restored</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30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3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Configure syslog forwarding: </w:t>
      </w:r>
      <w:r>
        <w:rPr>
          <w:rFonts w:ascii="Open Sans" w:hAnsi="Open Sans"/>
          <w:b w:val="0"/>
          <w:i w:val="0"/>
          <w:color w:val="59595B"/>
          <w:sz w:val="22"/>
        </w:rPr>
        <w:t>Sophos Central reports zero firewall events. IPS and threat events are only surfaced in Central if syslog forwarding is enabled. Configure Log Settings to forward to the Technijian DC syslog receiver for full threat-event visibility in future reports.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2026-05-01 10:59 for client 'BWH'. Configuration snapshot: 2026-05-01.</w:t>
      </w:r>
    </w:p>
    <w:p>
      <w:pPr>
        <w:spacing w:after="160"/>
      </w:pPr>
      <w:r>
        <w:rPr>
          <w:rFonts w:ascii="Open Sans" w:hAnsi="Open Sans"/>
          <w:b w:val="0"/>
          <w:i w:val="0"/>
          <w:color w:val="59595B"/>
          <w:sz w:val="22"/>
        </w:rPr>
        <w:t>For questions about this report or to request a different reporting cadence, contact your Technijian account manager or open a ticket via the Client Portal.</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