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Via Auto Finance — January 2026</w:t>
      </w:r>
    </w:p>
    <w:p>
      <w:pPr>
        <w:jc w:val="center"/>
      </w:pPr>
      <w:r>
        <w:rPr>
          <w:rFonts w:ascii="Open Sans" w:hAnsi="Open Sans"/>
          <w:b w:val="0"/>
          <w:i w:val="0"/>
          <w:color w:val="59595B"/>
          <w:sz w:val="24"/>
        </w:rPr>
        <w:t>Reporting period: 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217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Via Auto Finance during January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C010018R8J6R23A</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64.58.151.18</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10.254.254.2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64.58.151.18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(5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GuestAccess_DHCP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January 2026: 217.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2026-05-01 11:00 for client 'VAF'. Configuration snapshot: 2026-05-01.</w:t>
      </w:r>
    </w:p>
    <w:p>
      <w:pPr>
        <w:spacing w:after="160"/>
      </w:pPr>
      <w:r>
        <w:rPr>
          <w:rFonts w:ascii="Open Sans" w:hAnsi="Open Sans"/>
          <w:b w:val="0"/>
          <w:i w:val="0"/>
          <w:color w:val="59595B"/>
          <w:sz w:val="22"/>
        </w:rPr>
        <w:t>For questions about this report or to request a different reporting cadence, contact your Technijian account manager or open a ticket via the Client Portal.</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