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3 total. Events include policy matches, threat detections, and system activity recorded by the firewall and reported to Sophos Central.</w:t>
      </w:r>
    </w:p>
    <w:p>
      <w:pPr>
        <w:spacing w:after="160"/>
      </w:pPr>
      <w:r>
        <w:rPr>
          <w:rFonts w:ascii="Open Sans" w:hAnsi="Open Sans"/>
          <w:b/>
          <w:i w:val="0"/>
          <w:color w:val="59595B"/>
          <w:sz w:val="22"/>
        </w:rPr>
        <w:t>Events by group:</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Group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Pr>
        <w:spacing w:after="160"/>
      </w:pPr>
      <w:r>
        <w:rPr>
          <w:rFonts w:ascii="Open Sans" w:hAnsi="Open Sans"/>
          <w:b/>
          <w:i w:val="0"/>
          <w:color w:val="59595B"/>
          <w:sz w:val="22"/>
        </w:rPr>
        <w:t>Top event types:</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Event::Firewall::LostConnectionToSophosCentral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Event::Firewall::FirewallGatewayUp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Event::Firewall::Reconnected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Events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11:00 for client 'VAF'.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