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B2 Insurance — January 2026</w:t>
      </w:r>
    </w:p>
    <w:p>
      <w:pPr>
        <w:jc w:val="center"/>
      </w:pPr>
      <w:r>
        <w:rPr>
          <w:rFonts w:ascii="Open Sans" w:hAnsi="Open Sans"/>
          <w:b w:val="0"/>
          <w:i w:val="0"/>
          <w:color w:val="59595B"/>
          <w:sz w:val="24"/>
        </w:rPr>
        <w:t>Reporting period: 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62</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62 alert(s) were generated across the reporting period; 2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B2 Insurance during January 2026. Alert and event counts are aggregated from daily Sophos Central Partner API pulls; firewall configuration reflects the most recent on-box API snapshot (not available).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B2I-HQ-FW-01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V01001VJF9HFV1F</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98.154.36.202</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No on-box configuration snapshot is available for this client. This section will populate once the extended config pull has been run and the firewall API has been whitelisted.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Service Objects</w:t>
            </w:r>
          </w:p>
        </w:tc>
      </w:tr>
    </w:tbl>
    <w:p>
      <w:pPr>
        <w:spacing w:after="160"/>
      </w:pPr>
      <w:r>
        <w:rPr>
          <w:rFonts w:ascii="Open Sans" w:hAnsi="Open Sans"/>
          <w:b w:val="0"/>
          <w:i w:val="0"/>
          <w:color w:val="59595B"/>
          <w:sz w:val="22"/>
        </w:rPr>
        <w:t>Configuration snapshot not yet available for this client. Firewall API access must be whitelisted before security posture details can be captured.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January 2026: 62.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62</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31</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2026-01-31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Financial Services. Based on that classification, the data Technijian's stack is helping protect is most likely characterized as: NPI / PCI.</w:t>
      </w:r>
    </w:p>
    <w:p>
      <w:pPr>
        <w:spacing w:after="160"/>
      </w:pPr>
      <w:r>
        <w:rPr>
          <w:rFonts w:ascii="Open Sans" w:hAnsi="Open Sans"/>
          <w:b w:val="0"/>
          <w:i w:val="0"/>
          <w:color w:val="59595B"/>
          <w:sz w:val="21"/>
        </w:rPr>
        <w:t>Financial-services clients handle non-public personal information (NPI) and payment data. GLBA Safeguards Rule requires a written information-security program. SOC 2 Type II is increasingly the de-facto standard for vendor diligence. PCI DSS applies wherever cards are accepted (including custodial fee processing).</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w:t>
      </w:r>
      <w:r>
        <w:rPr>
          <w:rFonts w:ascii="Open Sans" w:hAnsi="Open Sans"/>
          <w:b w:val="0"/>
          <w:i w:val="0"/>
          <w:color w:val="59595B"/>
          <w:sz w:val="22"/>
        </w:rPr>
        <w:t>continuous monitoring, change tracking, patch evidence, and incident logs are produced monthly so SOC 2 Type II auditors can sample directly from the artifacts Technijian already generates.</w:t>
      </w:r>
    </w:p>
    <w:p>
      <w:pPr>
        <w:pStyle w:val="ListBullet"/>
        <w:spacing w:after="80"/>
      </w:pPr>
      <w:r>
        <w:rPr>
          <w:rFonts w:ascii="Open Sans" w:hAnsi="Open Sans"/>
          <w:b/>
          <w:i w:val="0"/>
          <w:color w:val="1A1A2E"/>
          <w:sz w:val="22"/>
        </w:rPr>
        <w:t xml:space="preserve">GLBA: </w:t>
      </w:r>
      <w:r>
        <w:rPr>
          <w:rFonts w:ascii="Open Sans" w:hAnsi="Open Sans"/>
          <w:b w:val="0"/>
          <w:i w:val="0"/>
          <w:color w:val="59595B"/>
          <w:sz w:val="22"/>
        </w:rPr>
        <w:t>endpoint protection plus role-based access enforcement help satisfy the GLBA Safeguards Rule's information-security program requirements (16 CFR §314).</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31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2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Enable on-box API access: </w:t>
      </w:r>
      <w:r>
        <w:rPr>
          <w:rFonts w:ascii="Open Sans" w:hAnsi="Open Sans"/>
          <w:b w:val="0"/>
          <w:i w:val="0"/>
          <w:color w:val="59595B"/>
          <w:sz w:val="22"/>
        </w:rPr>
        <w:t>firewall configuration details are not yet available. To unlock the Firewall Configuration and Security Posture sections, add the Technijian scanner IP (64.58.160.218) to the WAN zone allowed-API-IPs list under Administration &gt; Device Access.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'B2I'. Configuration snapshot: not available.</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