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B2 Insurance — March 2026</w:t>
      </w:r>
    </w:p>
    <w:p>
      <w:pPr>
        <w:jc w:val="center"/>
      </w:pPr>
      <w:r>
        <w:rPr>
          <w:rFonts w:ascii="Open Sans" w:hAnsi="Open Sans"/>
          <w:b w:val="0"/>
          <w:i w:val="0"/>
          <w:color w:val="59595B"/>
          <w:sz w:val="24"/>
        </w:rPr>
        <w:t>Reporting period: 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62</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62 alert(s) were generated across the reporting period; 2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B2 Insurance during March 2026. Alert and event counts are aggregated from daily Sophos Central Partner API pulls; firewall configuration reflects the most recent on-box API snapshot (not available).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V01001VJF9HFV1F</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98.154.36.202</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No on-box configuration snapshot is available for this client. This section will populate once the extended config pull has been run and the firewall API has been whitelisted.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Service Objects</w:t>
            </w:r>
          </w:p>
        </w:tc>
      </w:tr>
    </w:tbl>
    <w:p>
      <w:pPr>
        <w:spacing w:after="160"/>
      </w:pPr>
      <w:r>
        <w:rPr>
          <w:rFonts w:ascii="Open Sans" w:hAnsi="Open Sans"/>
          <w:b w:val="0"/>
          <w:i w:val="0"/>
          <w:color w:val="59595B"/>
          <w:sz w:val="22"/>
        </w:rPr>
        <w:t>Configuration snapshot not yet available for this client. Firewall API access must be whitelisted before security posture details can be captured.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March 2026: 62.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62</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2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Enable on-box API access: </w:t>
      </w:r>
      <w:r>
        <w:rPr>
          <w:rFonts w:ascii="Open Sans" w:hAnsi="Open Sans"/>
          <w:b w:val="0"/>
          <w:i w:val="0"/>
          <w:color w:val="59595B"/>
          <w:sz w:val="22"/>
        </w:rPr>
        <w:t>firewall configuration details are not yet available. To unlock the Firewall Configuration and Security Posture sections, add the Technijian scanner IP (64.58.160.218) to the WAN zone allowed-API-IPs list under Administration &gt; Device Access.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19:10 for client 'B2I'. Configuration snapshot: not available.</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