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528"/>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528"/>
            <w:tcBorders>
              <w:top w:val="nil"/>
              <w:left w:val="nil"/>
              <w:bottom w:val="nil"/>
              <w:right w:val="nil"/>
              <w:insideH w:val="nil"/>
              <w:insideV w:val="nil"/>
            </w:tcBorders>
          </w:tcPr>
          <w:p/>
        </w:tc>
      </w:tr>
    </w:tbl>
    <w:p/>
    <w:p>
      <w:pPr>
        <w:jc w:val="center"/>
      </w:pPr>
      <w:r>
        <w:rPr>
          <w:rFonts w:ascii="Open Sans" w:hAnsi="Open Sans"/>
          <w:b/>
          <w:i w:val="0"/>
          <w:color w:val="1A1A2E"/>
          <w:sz w:val="56"/>
        </w:rPr>
        <w:t>Sophos Firewall Monthly Activity</w:t>
      </w:r>
    </w:p>
    <w:p>
      <w:pPr>
        <w:spacing w:after="120"/>
        <w:jc w:val="center"/>
      </w:pPr>
      <w:r>
        <w:rPr>
          <w:rFonts w:ascii="Open Sans" w:hAnsi="Open Sans"/>
          <w:b w:val="0"/>
          <w:i w:val="0"/>
          <w:color w:val="59595B"/>
          <w:sz w:val="32"/>
        </w:rPr>
        <w:t>Kabuki Springs and Spa — March 2026</w:t>
      </w:r>
    </w:p>
    <w:p>
      <w:pPr>
        <w:jc w:val="center"/>
      </w:pPr>
      <w:r>
        <w:rPr>
          <w:rFonts w:ascii="Open Sans" w:hAnsi="Open Sans"/>
          <w:b w:val="0"/>
          <w:i w:val="0"/>
          <w:color w:val="59595B"/>
          <w:sz w:val="24"/>
        </w:rPr>
        <w:t>Reporting period: March 2026</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for internal Technijian and named-client use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tbl>
      <w:tblPr>
        <w:tblW w:type="auto" w:w="0"/>
        <w:tblLayout w:type="fixed"/>
        <w:tblLook w:firstColumn="1" w:firstRow="1" w:lastColumn="0" w:lastRow="0" w:noHBand="0" w:noVBand="1" w:val="04A0"/>
      </w:tblPr>
      <w:tblGrid>
        <w:gridCol w:w="1872"/>
        <w:gridCol w:w="1872"/>
        <w:gridCol w:w="1872"/>
        <w:gridCol w:w="1872"/>
        <w:gridCol w:w="1872"/>
      </w:tblGrid>
      <w:tr>
        <w:tc>
          <w:tcPr>
            <w:tcW w:type="dxa" w:w="1872"/>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1</w:t>
            </w:r>
          </w:p>
          <w:p>
            <w:pPr>
              <w:spacing w:before="0" w:after="240"/>
              <w:jc w:val="center"/>
            </w:pPr>
            <w:r>
              <w:rPr>
                <w:rFonts w:ascii="Open Sans" w:hAnsi="Open Sans"/>
                <w:b w:val="0"/>
                <w:i w:val="0"/>
                <w:color w:val="59595B"/>
                <w:sz w:val="20"/>
              </w:rPr>
              <w:t>Firewalls</w:t>
            </w:r>
          </w:p>
        </w:tc>
        <w:tc>
          <w:tcPr>
            <w:tcW w:type="dxa" w:w="1872"/>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1</w:t>
            </w:r>
          </w:p>
          <w:p>
            <w:pPr>
              <w:spacing w:before="0" w:after="240"/>
              <w:jc w:val="center"/>
            </w:pPr>
            <w:r>
              <w:rPr>
                <w:rFonts w:ascii="Open Sans" w:hAnsi="Open Sans"/>
                <w:b w:val="0"/>
                <w:i w:val="0"/>
                <w:color w:val="59595B"/>
                <w:sz w:val="20"/>
              </w:rPr>
              <w:t>Online</w:t>
            </w:r>
          </w:p>
        </w:tc>
        <w:tc>
          <w:tcPr>
            <w:tcW w:type="dxa" w:w="1872"/>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372</w:t>
            </w:r>
          </w:p>
          <w:p>
            <w:pPr>
              <w:spacing w:before="0" w:after="240"/>
              <w:jc w:val="center"/>
            </w:pPr>
            <w:r>
              <w:rPr>
                <w:rFonts w:ascii="Open Sans" w:hAnsi="Open Sans"/>
                <w:b w:val="0"/>
                <w:i w:val="0"/>
                <w:color w:val="59595B"/>
                <w:sz w:val="20"/>
              </w:rPr>
              <w:t>Alerts (month)</w:t>
            </w:r>
          </w:p>
        </w:tc>
        <w:tc>
          <w:tcPr>
            <w:tcW w:type="dxa" w:w="1872"/>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CC0000"/>
                <w:sz w:val="48"/>
              </w:rPr>
              <w:t>12</w:t>
            </w:r>
          </w:p>
          <w:p>
            <w:pPr>
              <w:spacing w:before="0" w:after="240"/>
              <w:jc w:val="center"/>
            </w:pPr>
            <w:r>
              <w:rPr>
                <w:rFonts w:ascii="Open Sans" w:hAnsi="Open Sans"/>
                <w:b w:val="0"/>
                <w:i w:val="0"/>
                <w:color w:val="59595B"/>
                <w:sz w:val="20"/>
              </w:rPr>
              <w:t>Alerts open</w:t>
            </w:r>
          </w:p>
        </w:tc>
        <w:tc>
          <w:tcPr>
            <w:tcW w:type="dxa" w:w="1872"/>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0</w:t>
            </w:r>
          </w:p>
          <w:p>
            <w:pPr>
              <w:spacing w:before="0" w:after="240"/>
              <w:jc w:val="center"/>
            </w:pPr>
            <w:r>
              <w:rPr>
                <w:rFonts w:ascii="Open Sans" w:hAnsi="Open Sans"/>
                <w:b w:val="0"/>
                <w:i w:val="0"/>
                <w:color w:val="59595B"/>
                <w:sz w:val="20"/>
              </w:rPr>
              <w:t>Events</w:t>
            </w:r>
          </w:p>
        </w:tc>
      </w:tr>
    </w:tbl>
    <w:tbl>
      <w:tblPr>
        <w:tblW w:type="auto" w:w="0"/>
        <w:tblLook w:firstColumn="1" w:firstRow="1" w:lastColumn="0" w:lastRow="0" w:noHBand="0" w:noVBand="1" w:val="04A0"/>
      </w:tblPr>
      <w:tblGrid>
        <w:gridCol w:w="9360"/>
      </w:tblGrid>
      <w:tr>
        <w:tc>
          <w:tcPr>
            <w:tcW w:type="dxa" w:w="9360"/>
            <w:shd w:val="clear" w:color="auto" w:fill="EAF3FA"/>
            <w:tcBorders>
              <w:top w:val="single" w:sz="12" w:color="006DB6"/>
              <w:left w:val="single" w:sz="12" w:color="006DB6"/>
              <w:bottom w:val="single" w:sz="12" w:color="006DB6"/>
              <w:right w:val="single" w:sz="12" w:color="006DB6"/>
            </w:tcBorders>
          </w:tcPr>
          <w:p>
            <w:pPr>
              <w:spacing w:before="120" w:after="120"/>
            </w:pPr>
            <w:r>
              <w:rPr>
                <w:rFonts w:ascii="Open Sans" w:hAnsi="Open Sans"/>
                <w:b w:val="0"/>
                <w:i w:val="0"/>
                <w:color w:val="1A1A2E"/>
                <w:sz w:val="22"/>
              </w:rPr>
              <w:t>372 alert(s) were generated across the reporting period; 12 remain open. Review the Connectivity Alerts section for detail.</w:t>
            </w:r>
          </w:p>
        </w:tc>
      </w:tr>
    </w:tbl>
    <w:p>
      <w:pPr>
        <w:spacing w:after="160"/>
      </w:pPr>
      <w:r>
        <w:rPr>
          <w:rFonts w:ascii="Open Sans" w:hAnsi="Open Sans"/>
          <w:b w:val="0"/>
          <w:i w:val="0"/>
          <w:color w:val="59595B"/>
          <w:sz w:val="22"/>
        </w:rPr>
        <w:t>This report summarizes Sophos XGS firewall connectivity, security posture, and operational activity for Kabuki Springs and Spa during March 2026. Alert and event counts are aggregated from daily Sophos Central Partner API pulls; firewall configuration reflects the most recent on-box API snapshot (not available).</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Firewall Inventory</w:t>
            </w:r>
          </w:p>
        </w:tc>
      </w:tr>
    </w:tbl>
    <w:tbl>
      <w:tblPr>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Hostname</w:t>
            </w:r>
          </w:p>
        </w:tc>
        <w:tc>
          <w:tcPr>
            <w:tcW w:type="dxa" w:w="158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Model</w:t>
            </w:r>
          </w:p>
        </w:tc>
        <w:tc>
          <w:tcPr>
            <w:tcW w:type="dxa" w:w="158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Firmware</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Serial</w:t>
            </w:r>
          </w:p>
        </w:tc>
        <w:tc>
          <w:tcPr>
            <w:tcW w:type="dxa" w:w="158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WAN IP</w:t>
            </w:r>
          </w:p>
        </w:tc>
        <w:tc>
          <w:tcPr>
            <w:tcW w:type="dxa" w:w="100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r>
      <w:tr>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KSS-HQ-FW-01</w:t>
            </w:r>
          </w:p>
        </w:tc>
        <w:tc>
          <w:tcPr>
            <w:tcW w:type="dxa" w:w="158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XGS108_SN01_SFOS 21.5.0 GA-Build171</w:t>
            </w:r>
          </w:p>
        </w:tc>
        <w:tc>
          <w:tcPr>
            <w:tcW w:type="dxa" w:w="158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XGS108_SN01_21.5.0.171</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X103052KYHPJ48E</w:t>
            </w:r>
          </w:p>
        </w:tc>
        <w:tc>
          <w:tcPr>
            <w:tcW w:type="dxa" w:w="158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50.247.89.142</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Online</w:t>
            </w:r>
          </w:p>
        </w:tc>
      </w:tr>
    </w:tbl>
    <w:p>
      <w:pPr>
        <w:spacing w:after="160"/>
      </w:pPr>
      <w:r>
        <w:rPr>
          <w:rFonts w:ascii="Open Sans" w:hAnsi="Open Sans"/>
          <w:b/>
          <w:i w:val="0"/>
          <w:color w:val="59595B"/>
          <w:sz w:val="22"/>
        </w:rPr>
        <w:t>Firmware version distribution (across reporting month):</w:t>
      </w:r>
    </w:p>
    <w:tbl>
      <w:tblPr>
        <w:tblW w:type="auto" w:w="0"/>
        <w:tblLayout w:type="fixed"/>
        <w:tblLook w:firstColumn="1" w:firstRow="1" w:lastColumn="0" w:lastRow="0" w:noHBand="0" w:noVBand="1" w:val="04A0"/>
      </w:tblPr>
      <w:tblGrid>
        <w:gridCol w:w="4680"/>
        <w:gridCol w:w="4680"/>
      </w:tblGrid>
      <w:tr>
        <w:tc>
          <w:tcPr>
            <w:tcW w:type="dxa" w:w="57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Firmware major version</w:t>
            </w:r>
          </w:p>
        </w:tc>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Days seen</w:t>
            </w:r>
          </w:p>
        </w:tc>
      </w:tr>
      <w:tr>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21.5</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31</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Firewall Configuration</w:t>
            </w:r>
          </w:p>
        </w:tc>
      </w:tr>
    </w:tbl>
    <w:p>
      <w:pPr>
        <w:spacing w:after="160"/>
      </w:pPr>
      <w:r>
        <w:rPr>
          <w:rFonts w:ascii="Open Sans" w:hAnsi="Open Sans"/>
          <w:b w:val="0"/>
          <w:i w:val="0"/>
          <w:color w:val="59595B"/>
          <w:sz w:val="22"/>
        </w:rPr>
        <w:t>No on-box configuration snapshot is available for this client. This section will populate once the extended config pull has been run and the firewall API has been whitelisted.</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Security Posture</w:t>
            </w:r>
          </w:p>
        </w:tc>
      </w:tr>
    </w:tbl>
    <w:p>
      <w:pPr>
        <w:spacing w:after="160"/>
      </w:pPr>
      <w:r>
        <w:rPr>
          <w:rFonts w:ascii="Open Sans" w:hAnsi="Open Sans"/>
          <w:b w:val="0"/>
          <w:i w:val="0"/>
          <w:color w:val="59595B"/>
          <w:sz w:val="22"/>
        </w:rPr>
        <w:t>Current intrusion-prevention, web-filtering, SSL/TLS inspection, and network-object configuration from the most recent on-box snapshot. This section captures the security controls in place on the Sophos XGS firewall at time of last pull.</w:t>
      </w:r>
    </w:p>
    <w:tbl>
      <w:tblPr>
        <w:tblW w:type="auto" w:w="0"/>
        <w:tblLayout w:type="fixed"/>
        <w:tblLook w:firstColumn="1" w:firstRow="1" w:lastColumn="0" w:lastRow="0" w:noHBand="0" w:noVBand="1" w:val="04A0"/>
      </w:tblPr>
      <w:tblGrid>
        <w:gridCol w:w="3120"/>
        <w:gridCol w:w="3120"/>
        <w:gridCol w:w="3120"/>
      </w:tblGrid>
      <w:tr>
        <w:tc>
          <w:tcPr>
            <w:tcW w:type="dxa" w:w="312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0</w:t>
            </w:r>
          </w:p>
          <w:p>
            <w:pPr>
              <w:spacing w:before="0" w:after="240"/>
              <w:jc w:val="center"/>
            </w:pPr>
            <w:r>
              <w:rPr>
                <w:rFonts w:ascii="Open Sans" w:hAnsi="Open Sans"/>
                <w:b w:val="0"/>
                <w:i w:val="0"/>
                <w:color w:val="59595B"/>
                <w:sz w:val="20"/>
              </w:rPr>
              <w:t>IP Host Objects</w:t>
            </w:r>
          </w:p>
        </w:tc>
        <w:tc>
          <w:tcPr>
            <w:tcW w:type="dxa" w:w="312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0</w:t>
            </w:r>
          </w:p>
          <w:p>
            <w:pPr>
              <w:spacing w:before="0" w:after="240"/>
              <w:jc w:val="center"/>
            </w:pPr>
            <w:r>
              <w:rPr>
                <w:rFonts w:ascii="Open Sans" w:hAnsi="Open Sans"/>
                <w:b w:val="0"/>
                <w:i w:val="0"/>
                <w:color w:val="59595B"/>
                <w:sz w:val="20"/>
              </w:rPr>
              <w:t>Host Groups</w:t>
            </w:r>
          </w:p>
        </w:tc>
        <w:tc>
          <w:tcPr>
            <w:tcW w:type="dxa" w:w="312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0</w:t>
            </w:r>
          </w:p>
          <w:p>
            <w:pPr>
              <w:spacing w:before="0" w:after="240"/>
              <w:jc w:val="center"/>
            </w:pPr>
            <w:r>
              <w:rPr>
                <w:rFonts w:ascii="Open Sans" w:hAnsi="Open Sans"/>
                <w:b w:val="0"/>
                <w:i w:val="0"/>
                <w:color w:val="59595B"/>
                <w:sz w:val="20"/>
              </w:rPr>
              <w:t>Service Objects</w:t>
            </w:r>
          </w:p>
        </w:tc>
      </w:tr>
    </w:tbl>
    <w:p>
      <w:pPr>
        <w:spacing w:after="160"/>
      </w:pPr>
      <w:r>
        <w:rPr>
          <w:rFonts w:ascii="Open Sans" w:hAnsi="Open Sans"/>
          <w:b w:val="0"/>
          <w:i w:val="0"/>
          <w:color w:val="59595B"/>
          <w:sz w:val="22"/>
        </w:rPr>
        <w:t>Configuration snapshot not yet available for this client. Firewall API access must be whitelisted before security posture details can be captured.</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Connectivity Alerts</w:t>
            </w:r>
          </w:p>
        </w:tc>
      </w:tr>
    </w:tbl>
    <w:p>
      <w:pPr>
        <w:spacing w:after="160"/>
      </w:pPr>
      <w:r>
        <w:rPr>
          <w:rFonts w:ascii="Open Sans" w:hAnsi="Open Sans"/>
          <w:b w:val="0"/>
          <w:i w:val="0"/>
          <w:color w:val="59595B"/>
          <w:sz w:val="22"/>
        </w:rPr>
        <w:t>Total alerts generated by Sophos Central during March 2026: 372. Sophos Central alerts include connectivity events (gateway up/down), license notifications, and policy violations.</w:t>
      </w:r>
    </w:p>
    <w:tbl>
      <w:tblPr>
        <w:tblW w:type="auto" w:w="0"/>
        <w:tblLayout w:type="fixed"/>
        <w:tblLook w:firstColumn="1" w:firstRow="1" w:lastColumn="0" w:lastRow="0" w:noHBand="0" w:noVBand="1" w:val="04A0"/>
      </w:tblPr>
      <w:tblGrid>
        <w:gridCol w:w="3120"/>
        <w:gridCol w:w="3120"/>
        <w:gridCol w:w="3120"/>
      </w:tblGrid>
      <w:tr>
        <w:tc>
          <w:tcPr>
            <w:tcW w:type="dxa" w:w="312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372</w:t>
            </w:r>
          </w:p>
          <w:p>
            <w:pPr>
              <w:spacing w:before="0" w:after="240"/>
              <w:jc w:val="center"/>
            </w:pPr>
            <w:r>
              <w:rPr>
                <w:rFonts w:ascii="Open Sans" w:hAnsi="Open Sans"/>
                <w:b w:val="0"/>
                <w:i w:val="0"/>
                <w:color w:val="59595B"/>
                <w:sz w:val="20"/>
              </w:rPr>
              <w:t>Total alerts</w:t>
            </w:r>
          </w:p>
        </w:tc>
        <w:tc>
          <w:tcPr>
            <w:tcW w:type="dxa" w:w="312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CC0000"/>
                <w:sz w:val="48"/>
              </w:rPr>
              <w:t>12</w:t>
            </w:r>
          </w:p>
          <w:p>
            <w:pPr>
              <w:spacing w:before="0" w:after="240"/>
              <w:jc w:val="center"/>
            </w:pPr>
            <w:r>
              <w:rPr>
                <w:rFonts w:ascii="Open Sans" w:hAnsi="Open Sans"/>
                <w:b w:val="0"/>
                <w:i w:val="0"/>
                <w:color w:val="59595B"/>
                <w:sz w:val="20"/>
              </w:rPr>
              <w:t>Open alerts</w:t>
            </w:r>
          </w:p>
        </w:tc>
        <w:tc>
          <w:tcPr>
            <w:tcW w:type="dxa" w:w="312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31</w:t>
            </w:r>
          </w:p>
          <w:p>
            <w:pPr>
              <w:spacing w:before="0" w:after="240"/>
              <w:jc w:val="center"/>
            </w:pPr>
            <w:r>
              <w:rPr>
                <w:rFonts w:ascii="Open Sans" w:hAnsi="Open Sans"/>
                <w:b w:val="0"/>
                <w:i w:val="0"/>
                <w:color w:val="59595B"/>
                <w:sz w:val="20"/>
              </w:rPr>
              <w:t>Days with connectivity alerts</w:t>
            </w:r>
          </w:p>
        </w:tc>
      </w:tr>
    </w:tbl>
    <w:p>
      <w:pPr>
        <w:spacing w:after="160"/>
      </w:pPr>
      <w:r>
        <w:rPr>
          <w:rFonts w:ascii="Open Sans" w:hAnsi="Open Sans"/>
          <w:b/>
          <w:i w:val="0"/>
          <w:color w:val="59595B"/>
          <w:sz w:val="22"/>
        </w:rPr>
        <w:t>Alerts by category:</w:t>
      </w:r>
    </w:p>
    <w:tbl>
      <w:tblPr>
        <w:tblW w:type="auto" w:w="0"/>
        <w:tblLayout w:type="fixed"/>
        <w:tblLook w:firstColumn="1" w:firstRow="1" w:lastColumn="0" w:lastRow="0" w:noHBand="0" w:noVBand="1" w:val="04A0"/>
      </w:tblPr>
      <w:tblGrid>
        <w:gridCol w:w="4680"/>
        <w:gridCol w:w="4680"/>
      </w:tblGrid>
      <w:tr>
        <w:tc>
          <w:tcPr>
            <w:tcW w:type="dxa" w:w="57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Category</w:t>
            </w:r>
          </w:p>
        </w:tc>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Connectivity</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w:t>
            </w:r>
          </w:p>
        </w:tc>
      </w:tr>
    </w:tbl>
    <w:p>
      <w:pPr>
        <w:spacing w:after="160"/>
      </w:pPr>
      <w:r>
        <w:rPr>
          <w:rFonts w:ascii="Open Sans" w:hAnsi="Open Sans"/>
          <w:b/>
          <w:i w:val="0"/>
          <w:color w:val="59595B"/>
          <w:sz w:val="22"/>
        </w:rPr>
        <w:t>Alerts by severity:</w:t>
      </w:r>
    </w:p>
    <w:tbl>
      <w:tblPr>
        <w:tblW w:type="auto" w:w="0"/>
        <w:tblLayout w:type="fixed"/>
        <w:tblLook w:firstColumn="1" w:firstRow="1" w:lastColumn="0" w:lastRow="0" w:noHBand="0" w:noVBand="1" w:val="04A0"/>
      </w:tblPr>
      <w:tblGrid>
        <w:gridCol w:w="4680"/>
        <w:gridCol w:w="4680"/>
      </w:tblGrid>
      <w:tr>
        <w:tc>
          <w:tcPr>
            <w:tcW w:type="dxa" w:w="57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High</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124</w:t>
            </w:r>
          </w:p>
        </w:tc>
      </w:tr>
      <w:tr>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248</w:t>
            </w:r>
          </w:p>
        </w:tc>
      </w:tr>
    </w:tbl>
    <w:p>
      <w:pPr>
        <w:spacing w:after="160"/>
      </w:pPr>
      <w:r>
        <w:rPr>
          <w:rFonts w:ascii="Open Sans" w:hAnsi="Open Sans"/>
          <w:b/>
          <w:i w:val="0"/>
          <w:color w:val="59595B"/>
          <w:sz w:val="22"/>
        </w:rPr>
        <w:t>Alerts by product:</w:t>
      </w:r>
    </w:p>
    <w:tbl>
      <w:tblPr>
        <w:tblW w:type="auto" w:w="0"/>
        <w:tblLayout w:type="fixed"/>
        <w:tblLook w:firstColumn="1" w:firstRow="1" w:lastColumn="0" w:lastRow="0" w:noHBand="0" w:noVBand="1" w:val="04A0"/>
      </w:tblPr>
      <w:tblGrid>
        <w:gridCol w:w="4680"/>
        <w:gridCol w:w="4680"/>
      </w:tblGrid>
      <w:tr>
        <w:tc>
          <w:tcPr>
            <w:tcW w:type="dxa" w:w="57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Product</w:t>
            </w:r>
          </w:p>
        </w:tc>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Firewall</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372</w:t>
            </w:r>
          </w:p>
        </w:tc>
      </w:tr>
    </w:tbl>
    <w:p>
      <w:pPr>
        <w:spacing w:after="160"/>
      </w:pPr>
      <w:r>
        <w:rPr>
          <w:rFonts w:ascii="Open Sans" w:hAnsi="Open Sans"/>
          <w:b/>
          <w:i w:val="0"/>
          <w:color w:val="59595B"/>
          <w:sz w:val="22"/>
        </w:rPr>
        <w:t>Top alert descriptions:</w:t>
      </w:r>
    </w:p>
    <w:tbl>
      <w:tblPr>
        <w:tblW w:type="auto" w:w="0"/>
        <w:tblLayout w:type="fixed"/>
        <w:tblLook w:firstColumn="1" w:firstRow="1" w:lastColumn="0" w:lastRow="0" w:noHBand="0" w:noVBand="1" w:val="04A0"/>
      </w:tblPr>
      <w:tblGrid>
        <w:gridCol w:w="4680"/>
        <w:gridCol w:w="4680"/>
      </w:tblGrid>
      <w:tr>
        <w:tc>
          <w:tcPr>
            <w:tcW w:type="dxa" w:w="72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Description</w:t>
            </w:r>
          </w:p>
        </w:tc>
        <w:tc>
          <w:tcPr>
            <w:tcW w:type="dxa" w:w="14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72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Gateway &amp;#39;DHCP_Port2_GW&amp;#39; is Up</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124</w:t>
            </w:r>
          </w:p>
        </w:tc>
      </w:tr>
      <w:tr>
        <w:tc>
          <w:tcPr>
            <w:tcW w:type="dxa" w:w="72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Firewall has not contacted Sophos Central for the past 5 minutes</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124</w:t>
            </w:r>
          </w:p>
        </w:tc>
      </w:tr>
      <w:tr>
        <w:tc>
          <w:tcPr>
            <w:tcW w:type="dxa" w:w="72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Firewall connection to Sophos Central is restored</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124</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Firewall Events</w:t>
            </w:r>
          </w:p>
        </w:tc>
      </w:tr>
    </w:tbl>
    <w:p>
      <w:pPr>
        <w:spacing w:after="160"/>
      </w:pPr>
      <w:r>
        <w:rPr>
          <w:rFonts w:ascii="Open Sans" w:hAnsi="Open Sans"/>
          <w:b w:val="0"/>
          <w:i w:val="0"/>
          <w:color w:val="59595B"/>
          <w:sz w:val="22"/>
        </w:rPr>
        <w:t>Sophos Central event log entries for the reporting period: 0 total. Events include policy matches, threat detections, and system activity recorded by the firewall and reported to Sophos Central.</w:t>
      </w:r>
    </w:p>
    <w:p>
      <w:pPr>
        <w:spacing w:after="160"/>
      </w:pPr>
      <w:r>
        <w:rPr>
          <w:rFonts w:ascii="Open Sans" w:hAnsi="Open Sans"/>
          <w:b w:val="0"/>
          <w:i w:val="0"/>
          <w:color w:val="59595B"/>
          <w:sz w:val="22"/>
        </w:rPr>
        <w:t>No firewall events were recorded in Sophos Central during this period. This is typical for firewalls where only connectivity-level alerts are forwarded to Sophos Central. Detailed threat events require syslog forwarding to be configured to the Technijian DC syslog receiver.</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Daily Trend</w:t>
            </w:r>
          </w:p>
        </w:tc>
      </w:tr>
    </w:tbl>
    <w:p>
      <w:pPr>
        <w:spacing w:after="160"/>
      </w:pPr>
      <w:r>
        <w:rPr>
          <w:rFonts w:ascii="Open Sans" w:hAnsi="Open Sans"/>
          <w:b w:val="0"/>
          <w:i w:val="0"/>
          <w:color w:val="59595B"/>
          <w:sz w:val="22"/>
        </w:rPr>
        <w:t>Day-by-day count of Sophos Central alerts and firewall events throughout the reporting month. Connectivity spikes typically indicate WAN instability or ISP outages. Persistent open alerts warrant investigation.</w:t>
      </w:r>
    </w:p>
    <w:tbl>
      <w:tblPr>
        <w:tblW w:type="auto" w:w="0"/>
        <w:tblLayout w:type="fixed"/>
        <w:tblLook w:firstColumn="1" w:firstRow="1" w:lastColumn="0" w:lastRow="0" w:noHBand="0" w:noVBand="1" w:val="04A0"/>
      </w:tblPr>
      <w:tblGrid>
        <w:gridCol w:w="3120"/>
        <w:gridCol w:w="3120"/>
        <w:gridCol w:w="3120"/>
      </w:tblGrid>
      <w:tr>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Date</w:t>
            </w:r>
          </w:p>
        </w:tc>
        <w:tc>
          <w:tcPr>
            <w:tcW w:type="dxa" w:w="252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Alerts</w:t>
            </w:r>
          </w:p>
        </w:tc>
        <w:tc>
          <w:tcPr>
            <w:tcW w:type="dxa" w:w="252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Events</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2026-03-01</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2026-03-02</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2026-03-03</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2026-03-04</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2026-03-05</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2026-03-06</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2026-03-07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2026-03-08</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2026-03-09</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2026-03-10</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2026-03-11</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2026-03-12</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2026-03-13</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2026-03-14</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2026-03-15</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2026-03-16</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2026-03-17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2026-03-18</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2026-03-19</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2026-03-20</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2026-03-21</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2026-03-22</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2026-03-23</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2026-03-24</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2026-03-25</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2026-03-26</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2026-03-27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2026-03-28</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2026-03-29</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2026-03-30</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2026-03-31</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spacing w:after="160"/>
      </w:pPr>
      <w:r>
        <w:rPr>
          <w:rFonts w:ascii="Open Sans" w:hAnsi="Open Sans"/>
          <w:b w:val="0"/>
          <w:i w:val="0"/>
          <w:color w:val="59595B"/>
          <w:sz w:val="22"/>
        </w:rPr>
        <w:t>Throughout the reporting period the Technijian security operations team performed the following ongoing services for your Sophos firewall environment:</w:t>
      </w:r>
    </w:p>
    <w:p>
      <w:pPr>
        <w:pStyle w:val="ListBullet"/>
        <w:spacing w:after="80"/>
      </w:pPr>
      <w:r>
        <w:rPr>
          <w:rFonts w:ascii="Open Sans" w:hAnsi="Open Sans"/>
          <w:b/>
          <w:i w:val="0"/>
          <w:color w:val="1A1A2E"/>
          <w:sz w:val="22"/>
        </w:rPr>
        <w:t xml:space="preserve">24x7 monitoring: </w:t>
      </w:r>
      <w:r>
        <w:rPr>
          <w:rFonts w:ascii="Open Sans" w:hAnsi="Open Sans"/>
          <w:b w:val="0"/>
          <w:i w:val="0"/>
          <w:color w:val="59595B"/>
          <w:sz w:val="22"/>
        </w:rPr>
        <w:t>continuous health checks against every Sophos XGS firewall via the Sophos Central Partner API; alerts are reviewed within on-call SLA.</w:t>
      </w:r>
    </w:p>
    <w:p>
      <w:pPr>
        <w:pStyle w:val="ListBullet"/>
        <w:spacing w:after="80"/>
      </w:pPr>
      <w:r>
        <w:rPr>
          <w:rFonts w:ascii="Open Sans" w:hAnsi="Open Sans"/>
          <w:b/>
          <w:i w:val="0"/>
          <w:color w:val="1A1A2E"/>
          <w:sz w:val="22"/>
        </w:rPr>
        <w:t xml:space="preserve">Connectivity tracking: </w:t>
      </w:r>
      <w:r>
        <w:rPr>
          <w:rFonts w:ascii="Open Sans" w:hAnsi="Open Sans"/>
          <w:b w:val="0"/>
          <w:i w:val="0"/>
          <w:color w:val="59595B"/>
          <w:sz w:val="22"/>
        </w:rPr>
        <w:t>daily firewall connection status is recorded; gaps beyond 15 minutes trigger an investigation and ticket in the Technijian Client Portal.</w:t>
      </w:r>
    </w:p>
    <w:p>
      <w:pPr>
        <w:pStyle w:val="ListBullet"/>
        <w:spacing w:after="80"/>
      </w:pPr>
      <w:r>
        <w:rPr>
          <w:rFonts w:ascii="Open Sans" w:hAnsi="Open Sans"/>
          <w:b/>
          <w:i w:val="0"/>
          <w:color w:val="1A1A2E"/>
          <w:sz w:val="22"/>
        </w:rPr>
        <w:t xml:space="preserve">Configuration baseline: </w:t>
      </w:r>
      <w:r>
        <w:rPr>
          <w:rFonts w:ascii="Open Sans" w:hAnsi="Open Sans"/>
          <w:b w:val="0"/>
          <w:i w:val="0"/>
          <w:color w:val="59595B"/>
          <w:sz w:val="22"/>
        </w:rPr>
        <w:t>on-box API snapshots capture firewall rules, NAT, IPS policies, web filter, zones, interfaces, and network objects; deviations from the documented baseline are reviewed on each pull.</w:t>
      </w:r>
    </w:p>
    <w:p>
      <w:pPr>
        <w:pStyle w:val="ListBullet"/>
        <w:spacing w:after="80"/>
      </w:pPr>
      <w:r>
        <w:rPr>
          <w:rFonts w:ascii="Open Sans" w:hAnsi="Open Sans"/>
          <w:b/>
          <w:i w:val="0"/>
          <w:color w:val="1A1A2E"/>
          <w:sz w:val="22"/>
        </w:rPr>
        <w:t xml:space="preserve">Firmware awareness: </w:t>
      </w:r>
      <w:r>
        <w:rPr>
          <w:rFonts w:ascii="Open Sans" w:hAnsi="Open Sans"/>
          <w:b w:val="0"/>
          <w:i w:val="0"/>
          <w:color w:val="59595B"/>
          <w:sz w:val="22"/>
        </w:rPr>
        <w:t>firmware version is tracked daily; Sophos XGS advisories are reviewed and upgrade windows are coordinated with you when critical patches are available.</w:t>
      </w:r>
    </w:p>
    <w:p>
      <w:pPr>
        <w:pStyle w:val="ListBullet"/>
        <w:spacing w:after="80"/>
      </w:pPr>
      <w:r>
        <w:rPr>
          <w:rFonts w:ascii="Open Sans" w:hAnsi="Open Sans"/>
          <w:b/>
          <w:i w:val="0"/>
          <w:color w:val="1A1A2E"/>
          <w:sz w:val="22"/>
        </w:rPr>
        <w:t xml:space="preserve">Monthly reporting: </w:t>
      </w:r>
      <w:r>
        <w:rPr>
          <w:rFonts w:ascii="Open Sans" w:hAnsi="Open Sans"/>
          <w:b w:val="0"/>
          <w:i w:val="0"/>
          <w:color w:val="59595B"/>
          <w:sz w:val="22"/>
        </w:rPr>
        <w:t>this document is generated from the Sophos Central API and on-box configuration data, verified through a structural proofreader, and delivered as part of your Managed Security service.</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Industry News &amp; Vendor Innovations</w:t>
            </w:r>
          </w:p>
        </w:tc>
      </w:tr>
    </w:tbl>
    <w:p>
      <w:pPr>
        <w:spacing w:after="160"/>
      </w:pPr>
      <w:r>
        <w:rPr>
          <w:rFonts w:ascii="Open Sans" w:hAnsi="Open Sans"/>
          <w:b w:val="0"/>
          <w:i w:val="0"/>
          <w:color w:val="59595B"/>
          <w:sz w:val="22"/>
        </w:rPr>
        <w:t>Sophos announced no major platform changes this month. Routine detection-content updates and sensor improvements continued to roll out automatically. Technijian tracks Sophos's release notes monthly so future updates land in this section as they're published.</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Compliance Alignment</w:t>
            </w:r>
          </w:p>
        </w:tc>
      </w:tr>
    </w:tbl>
    <w:p>
      <w:pPr>
        <w:spacing w:after="160"/>
      </w:pPr>
      <w:r>
        <w:rPr>
          <w:rFonts w:ascii="Open Sans" w:hAnsi="Open Sans"/>
          <w:b w:val="0"/>
          <w:i w:val="0"/>
          <w:color w:val="59595B"/>
          <w:sz w:val="22"/>
        </w:rPr>
        <w:t>This client's industry classification is Hospitality. Based on that classification, the data Technijian's stack is helping protect is most likely characterized as: PCI / Guest PII.</w:t>
      </w:r>
    </w:p>
    <w:p>
      <w:pPr>
        <w:spacing w:after="160"/>
      </w:pPr>
      <w:r>
        <w:rPr>
          <w:rFonts w:ascii="Open Sans" w:hAnsi="Open Sans"/>
          <w:b w:val="0"/>
          <w:i w:val="0"/>
          <w:color w:val="59595B"/>
          <w:sz w:val="21"/>
        </w:rPr>
        <w:t>Hotels and spas process card-present and card-not-present transactions, putting them firmly in PCI DSS scope. Guest PII (passport scans, ID) drives CCPA and state breach-notification obligations.</w:t>
      </w:r>
    </w:p>
    <w:p>
      <w:pPr>
        <w:spacing w:after="160"/>
      </w:pPr>
      <w:r>
        <w:rPr>
          <w:rFonts w:ascii="Open Sans" w:hAnsi="Open Sans"/>
          <w:b/>
          <w:i w:val="0"/>
          <w:color w:val="1A1A2E"/>
          <w:sz w:val="22"/>
        </w:rPr>
        <w:t>How Technijian's monitoring stack supports each framework:</w:t>
      </w:r>
    </w:p>
    <w:p>
      <w:pPr>
        <w:pStyle w:val="ListBullet"/>
        <w:spacing w:after="80"/>
      </w:pPr>
      <w:r>
        <w:rPr>
          <w:rFonts w:ascii="Open Sans" w:hAnsi="Open Sans"/>
          <w:b/>
          <w:i w:val="0"/>
          <w:color w:val="1A1A2E"/>
          <w:sz w:val="22"/>
        </w:rPr>
        <w:t xml:space="preserve">PCI DSS: </w:t>
      </w:r>
      <w:r>
        <w:rPr>
          <w:rFonts w:ascii="Open Sans" w:hAnsi="Open Sans"/>
          <w:b w:val="0"/>
          <w:i w:val="0"/>
          <w:color w:val="59595B"/>
          <w:sz w:val="22"/>
        </w:rPr>
        <w:t>system patching, anti-malware, and continuous vulnerability monitoring satisfy PCI DSS 4.0 Requirements 5, 6, 11, and 12. Technijian's monthly reports are the audit evidence.</w:t>
      </w:r>
    </w:p>
    <w:p>
      <w:pPr>
        <w:pStyle w:val="ListBullet"/>
        <w:spacing w:after="80"/>
      </w:pPr>
      <w:r>
        <w:rPr>
          <w:rFonts w:ascii="Open Sans" w:hAnsi="Open Sans"/>
          <w:b/>
          <w:i w:val="0"/>
          <w:color w:val="1A1A2E"/>
          <w:sz w:val="22"/>
        </w:rPr>
        <w:t xml:space="preserve">California CCPA: </w:t>
      </w:r>
      <w:r>
        <w:rPr>
          <w:rFonts w:ascii="Open Sans" w:hAnsi="Open Sans"/>
          <w:b w:val="0"/>
          <w:i w:val="0"/>
          <w:color w:val="59595B"/>
          <w:sz w:val="22"/>
        </w:rPr>
        <w:t>breach-detection and incident-response capabilities support CCPA §1798.150 reasonable-security obligations and the 72-hour notification window for incidents involving California-resident PII.</w:t>
      </w:r>
    </w:p>
    <w:p>
      <w:pPr>
        <w:spacing w:after="160"/>
      </w:pPr>
      <w:r>
        <w:rPr>
          <w:rFonts w:ascii="Open Sans" w:hAnsi="Open Sans"/>
          <w:b w:val="0"/>
          <w:i w:val="0"/>
          <w:color w:val="59595B"/>
          <w:sz w:val="19"/>
        </w:rPr>
        <w:t>This classification was generated automatically from the client's name and contact-domain signals. If the industry or compliance scope shown here doesn't match your operations, please reply to this report and we'll update the classification — Technijian's team can also produce a deeper compliance-posture report on request.</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Pr>
        <w:pStyle w:val="ListBullet"/>
        <w:spacing w:after="80"/>
      </w:pPr>
      <w:r>
        <w:rPr>
          <w:rFonts w:ascii="Open Sans" w:hAnsi="Open Sans"/>
          <w:b/>
          <w:i w:val="0"/>
          <w:color w:val="1A1A2E"/>
          <w:sz w:val="22"/>
        </w:rPr>
        <w:t xml:space="preserve">Investigate connectivity gaps: </w:t>
      </w:r>
      <w:r>
        <w:rPr>
          <w:rFonts w:ascii="Open Sans" w:hAnsi="Open Sans"/>
          <w:b w:val="0"/>
          <w:i w:val="0"/>
          <w:color w:val="59595B"/>
          <w:sz w:val="22"/>
        </w:rPr>
        <w:t>the firewall lost contact with Sophos Central on 31 day(s) this period. Sustained outages may indicate WAN instability or ISP issues. Review ISP SLA and consider a secondary WAN link.</w:t>
      </w:r>
    </w:p>
    <w:p>
      <w:pPr>
        <w:pStyle w:val="ListBullet"/>
        <w:spacing w:after="80"/>
      </w:pPr>
      <w:r>
        <w:rPr>
          <w:rFonts w:ascii="Open Sans" w:hAnsi="Open Sans"/>
          <w:b/>
          <w:i w:val="0"/>
          <w:color w:val="1A1A2E"/>
          <w:sz w:val="22"/>
        </w:rPr>
        <w:t xml:space="preserve">Resolve open alerts: </w:t>
      </w:r>
      <w:r>
        <w:rPr>
          <w:rFonts w:ascii="Open Sans" w:hAnsi="Open Sans"/>
          <w:b w:val="0"/>
          <w:i w:val="0"/>
          <w:color w:val="59595B"/>
          <w:sz w:val="22"/>
        </w:rPr>
        <w:t>12 alert(s) remain open in Sophos Central. Log into the Central dashboard and acknowledge or dismiss any stale alerts to keep the alert queue clean.</w:t>
      </w:r>
    </w:p>
    <w:p>
      <w:pPr>
        <w:pStyle w:val="ListBullet"/>
        <w:spacing w:after="80"/>
      </w:pPr>
      <w:r>
        <w:rPr>
          <w:rFonts w:ascii="Open Sans" w:hAnsi="Open Sans"/>
          <w:b/>
          <w:i w:val="0"/>
          <w:color w:val="1A1A2E"/>
          <w:sz w:val="22"/>
        </w:rPr>
        <w:t xml:space="preserve">Enable on-box API access: </w:t>
      </w:r>
      <w:r>
        <w:rPr>
          <w:rFonts w:ascii="Open Sans" w:hAnsi="Open Sans"/>
          <w:b w:val="0"/>
          <w:i w:val="0"/>
          <w:color w:val="59595B"/>
          <w:sz w:val="22"/>
        </w:rPr>
        <w:t>firewall configuration details are not yet available. To unlock the Firewall Configuration and Security Posture sections, add the Technijian scanner IP (64.58.160.218) to the WAN zone allowed-API-IPs list under Administration &gt; Device Access.</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About This Report</w:t>
            </w:r>
          </w:p>
        </w:tc>
      </w:tr>
    </w:tbl>
    <w:p>
      <w:pPr>
        <w:spacing w:after="160"/>
      </w:pPr>
      <w:r>
        <w:rPr>
          <w:rFonts w:ascii="Open Sans" w:hAnsi="Open Sans"/>
          <w:b w:val="0"/>
          <w:i w:val="0"/>
          <w:color w:val="59595B"/>
          <w:sz w:val="22"/>
        </w:rPr>
        <w:t>This report is generated automatically from the Sophos Central Partner API and the Sophos XGS on-box configuration API by Technijian's annual-client-review pipeline. Alert and event counts are aggregated from daily API pulls; configuration data reflects the most recent on-box snapshot.</w:t>
      </w:r>
    </w:p>
    <w:p>
      <w:pPr>
        <w:spacing w:after="160"/>
      </w:pPr>
      <w:r>
        <w:rPr>
          <w:rFonts w:ascii="Open Sans" w:hAnsi="Open Sans"/>
          <w:b w:val="0"/>
          <w:i w:val="0"/>
          <w:color w:val="59595B"/>
          <w:sz w:val="22"/>
        </w:rPr>
        <w:t>Report generated 2026-05-02 19:10 for client 'KSS'. Configuration snapshot: not available.</w:t>
      </w:r>
    </w:p>
    <w:p>
      <w:pPr>
        <w:spacing w:after="160"/>
      </w:pPr>
      <w:r>
        <w:rPr>
          <w:rFonts w:ascii="Open Sans" w:hAnsi="Open Sans"/>
          <w:b w:val="0"/>
          <w:i w:val="0"/>
          <w:color w:val="59595B"/>
          <w:sz w:val="22"/>
        </w:rPr>
        <w:t>For questions about this report or to request a different reporting cadence, email support@technijian.com.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