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52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Patch Management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January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Generated 2026-05-02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368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46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Machines patched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F67D4B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Critical patches deployed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Hands-on remediations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During January 2026, Technijian deployed 368 patches across 46 VAF endpoints — 368 via the automated patch pipeline and 0 delivered hands-on by Technijian's tech team. 0 of those addressed Critical-severity vulnerabilities. The automated patch infrastructure ran on schedule, and any endpoints that needed extra attention were picked up by our techs and installed manually within the same window.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Patch Window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VAF's Automated Patch Deployment (APD) tasks in Endpoint Central are configured as follows. Times are in the deployment template's configured timezone.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87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Task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Template</w:t>
            </w:r>
          </w:p>
        </w:tc>
        <w:tc>
          <w:tcPr>
            <w:tcW w:type="dxa" w:w="158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Window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Days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Weeks</w:t>
            </w:r>
          </w:p>
        </w:tc>
      </w:tr>
      <w:tr>
        <w:tc>
          <w:tcPr>
            <w:tcW w:type="dxa" w:w="187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patch managment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Deployment Policy</w:t>
            </w:r>
          </w:p>
        </w:tc>
        <w:tc>
          <w:tcPr>
            <w:tcW w:type="dxa" w:w="158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20:59 – 02:00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Tue, Wed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  <w:tr>
        <w:tc>
          <w:tcPr>
            <w:tcW w:type="dxa" w:w="187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 patch management(CST-Time Zone)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RUNNING</w:t>
            </w:r>
          </w:p>
        </w:tc>
        <w:tc>
          <w:tcPr>
            <w:tcW w:type="dxa" w:w="230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VAF-HQ-LT-24</w:t>
            </w:r>
          </w:p>
        </w:tc>
        <w:tc>
          <w:tcPr>
            <w:tcW w:type="dxa" w:w="1584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22:59 – 02:00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Tue, Wed</w:t>
            </w:r>
          </w:p>
        </w:tc>
        <w:tc>
          <w:tcPr>
            <w:tcW w:type="dxa" w:w="100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every week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Per-Machine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Machine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Total Installed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Succeeded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Errored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VAF-HQ-MCX-01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11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DESKTOP-I7CGJRV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VAF-DC-OPSPRB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10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VAF-HQ-LT-03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VAF-HQ-LT-15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VAF-HQ-LT-22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VAF-HQ-SUR-09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VAF-HQ-LT-32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VAF-HQ-LT-29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VAF-DC-SFTP-02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VAF-HQ-SUR-18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VAF-HQ-LT-10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VAF-HQ-LT-14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VAF-HQ-LT-08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VAF-HQ-SUR-14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VAF-HQ-LT-24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VAF-DC-TSVDI-GI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VAF-DC-SQL-01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VAF-DC-FS-02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VAF-HQ-WINEDGE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VAF-DC-FS-01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VAF-DC-3CX-01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VAF-DC-AD-01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4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1152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28A745"/>
                <w:sz w:val="19"/>
              </w:rPr>
              <w:t>Pass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Severity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Severity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Critical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0.0%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Important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27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7.3%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Moderate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45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12.2%</w:t>
            </w:r>
          </w:p>
        </w:tc>
      </w:tr>
      <w:tr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Low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72</w:t>
            </w:r>
          </w:p>
        </w:tc>
        <w:tc>
          <w:tcPr>
            <w:tcW w:type="dxa" w:w="288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19.6%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Unspecified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224</w:t>
            </w:r>
          </w:p>
        </w:tc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60.9%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Vendor Breakdown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Vendor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Installed</w:t>
            </w:r>
          </w:p>
        </w:tc>
        <w:tc>
          <w:tcPr>
            <w:tcW w:type="dxa" w:w="244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% of total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299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81.2%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 Corporation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35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9.5%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Intel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15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2.2%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Notepad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1.1%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Zoom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0.8%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IcoFX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0.5%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Poly, Inc.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Nitro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  <w:tc>
          <w:tcPr>
            <w:tcW w:type="dxa" w:w="244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0.3%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Automated Patch Deployments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Showing the top 25 of 40 unique patches deployed this month by the automated patch pipeline, ranked by number of endpoints that received each patch.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72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30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MicrosoftEdgeWebView2RuntimeInstallerX64_144.0.3719.82.exe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windows11.0-kb5078127-x64-25H2_win11.msu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windows11.0-kb5074109-x64-25H2_win11.msu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23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VC_redist.x86__14.50.35719.0.exe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19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windowsdesktop-runtime-8.0.23-win-x64.exe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Office365_installer_19530.20144_currentx64.exe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Office365_installer_19530.20138B_currentx64.exe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Office365_installer_19628.20150B_currentx64.exe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Office365_installer_19530.20184_currentx64.exe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Office365_installer_19530.20138_currentx64.exe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VC_redist.x64__14.50.35719.0.exe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12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228b3e8a-0c81-49ef-a079-7d4627944b0e_59a950f8b5a12ebe92767065bc0a7b6ddd843bd7_PCI_VEN_8086_DEV_46A8.cab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windows10.0-kb5078136-x64-2022.msu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windows10.0-kb5073457-x64-2022.msu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8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windows10.0-kb5077800-x64-2022.msu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7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windows11.0-kb5078127-x64-24H2_win11.msu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VMware-tools-13.0.10-25056151-x64.exe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6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228b3e8a-0c81-49ef-a079-7d4627944b0e_59a950f8b5a12ebe92767065bc0a7b6ddd843bd7_PCI_VEN_8086_DEV_A7A1.cab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windows11.0-kb5077744-x64-24H2_win11.msu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5</w:t>
            </w:r>
          </w:p>
        </w:tc>
      </w:tr>
      <w:tr>
        <w:tc>
          <w:tcPr>
            <w:tcW w:type="dxa" w:w="72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PBIDesktopSetup_2.150.1704.0_x64.exe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  <w:tr>
        <w:tc>
          <w:tcPr>
            <w:tcW w:type="dxa" w:w="72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windows11.0-kb5074109-x64-24H2_win11.msu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Manual Installations by Technijian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9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scheduled patches were deployed cleanly by the automated pipeline — no hands-on installation by Technijian's tech team was required this month.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Year-to-Date Patch Coverage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Cumulative 2026 patch deployment totals through January 2026, month by month. The running totals show Technijian's protection compounding across the calendar year.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Month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Patches Deployed</w:t>
            </w:r>
          </w:p>
        </w:tc>
        <w:tc>
          <w:tcPr>
            <w:tcW w:type="dxa" w:w="172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Critical Patches</w:t>
            </w:r>
          </w:p>
        </w:tc>
        <w:tc>
          <w:tcPr>
            <w:tcW w:type="dxa" w:w="201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Endpoints Patched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YTD Total</w:t>
            </w:r>
          </w:p>
        </w:tc>
      </w:tr>
      <w:tr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January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372</w:t>
            </w:r>
          </w:p>
        </w:tc>
        <w:tc>
          <w:tcPr>
            <w:tcW w:type="dxa" w:w="172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01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46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372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Through January 2026, Technijian has deployed 372 patches year-to-date — including 0 Critical-severity vulnerabilities closed.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Deployed 368 security and feature patches </w:t>
      </w:r>
      <w:r>
        <w:rPr>
          <w:rFonts w:ascii="Open Sans" w:hAnsi="Open Sans"/>
          <w:b w:val="0"/>
          <w:i w:val="0"/>
          <w:color w:val="59595B"/>
          <w:sz w:val="22"/>
        </w:rPr>
        <w:t>across 46 of your endpoints during January 2026, keeping your fleet aligned with vendor security baselines.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Closed 27 Important-severity vulnerabilities </w:t>
      </w:r>
      <w:r>
        <w:rPr>
          <w:rFonts w:ascii="Open Sans" w:hAnsi="Open Sans"/>
          <w:b w:val="0"/>
          <w:i w:val="0"/>
          <w:color w:val="59595B"/>
          <w:sz w:val="22"/>
        </w:rPr>
        <w:t>as part of the same deployment cycle.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Coordinated patches across 9 different software vendors </w:t>
      </w:r>
      <w:r>
        <w:rPr>
          <w:rFonts w:ascii="Open Sans" w:hAnsi="Open Sans"/>
          <w:b w:val="0"/>
          <w:i w:val="0"/>
          <w:color w:val="59595B"/>
          <w:sz w:val="22"/>
        </w:rPr>
        <w:t>(Microsoft, Adobe, browser makers, and others) so your team doesn't have to track each vendor's release calendar.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Maintained the scheduled patch window: </w:t>
      </w:r>
      <w:r>
        <w:rPr>
          <w:rFonts w:ascii="Open Sans" w:hAnsi="Open Sans"/>
          <w:b w:val="0"/>
          <w:i w:val="0"/>
          <w:color w:val="59595B"/>
          <w:sz w:val="22"/>
        </w:rPr>
        <w:t>20:59-02:00 on Tue,Wed (every week), 22:59-02:00 on Tue,Wed (every week). Endpoints powered on during the window received their patches with no user interaction required.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Monitored the patch infrastructure 24×7: </w:t>
      </w:r>
      <w:r>
        <w:rPr>
          <w:rFonts w:ascii="Open Sans" w:hAnsi="Open Sans"/>
          <w:b w:val="0"/>
          <w:i w:val="0"/>
          <w:color w:val="59595B"/>
          <w:sz w:val="22"/>
        </w:rPr>
        <w:t>patch scan health, deployment status, distribution server connectivity, and endpoint check-in were all under continuous monitoring throughout the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Industry News &amp; Vendor Innovations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ManageEngine announced no major platform changes this month. Routine detection-content updates and sensor improvements continued to roll out automatically. Technijian tracks ManageEngine's release notes monthly so future updates land in this section as they're published.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Compliance Alignment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client's industry classification is Automotive / Trucking. Based on that classification, the data Technijian's stack is helping protect is most likely characterized as: Customer PII / Financial.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1"/>
        </w:rPr>
        <w:t>Auto dealers fall under the FTC Safeguards Rule for customer financial data; trucking falls under DOT regs. Both handle California-resident PII triggering CCPA obligations.</w:t>
      </w:r>
    </w:p>
    <w:p>
      <w:pPr>
        <w:spacing w:after="160"/>
      </w:pPr>
      <w:r>
        <w:rPr>
          <w:rFonts w:ascii="Open Sans" w:hAnsi="Open Sans"/>
          <w:b/>
          <w:i w:val="0"/>
          <w:color w:val="1A1A2E"/>
          <w:sz w:val="22"/>
        </w:rPr>
        <w:t>How Technijian's monitoring stack supports each framework: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California CCPA: </w:t>
      </w:r>
      <w:r>
        <w:rPr>
          <w:rFonts w:ascii="Open Sans" w:hAnsi="Open Sans"/>
          <w:b w:val="0"/>
          <w:i w:val="0"/>
          <w:color w:val="59595B"/>
          <w:sz w:val="22"/>
        </w:rPr>
        <w:t>breach-detection and incident-response capabilities support CCPA §1798.150 reasonable-security obligations and the 72-hour notification window for incidents involving California-resident PII.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FTC Safeguards Rule (if dealer): </w:t>
      </w:r>
      <w:r>
        <w:rPr>
          <w:rFonts w:ascii="Open Sans" w:hAnsi="Open Sans"/>
          <w:b w:val="0"/>
          <w:i w:val="0"/>
          <w:color w:val="59595B"/>
          <w:sz w:val="22"/>
        </w:rPr>
        <w:t>the same security-program controls that cover GLBA also satisfy the FTC Safeguards Rule for non-bank financial institutions (including auto dealers).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19"/>
        </w:rPr>
        <w:t>This classification was generated automatically from the client's name and contact-domain signals. If the industry or compliance scope shown here doesn't match your operations, please reply to this report and we'll update the classification — Technijian's team can also produce a deeper compliance-posture report on request.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Stay the course: </w:t>
      </w:r>
      <w:r>
        <w:rPr>
          <w:rFonts w:ascii="Open Sans" w:hAnsi="Open Sans"/>
          <w:b w:val="0"/>
          <w:i w:val="0"/>
          <w:color w:val="59595B"/>
          <w:sz w:val="22"/>
        </w:rPr>
        <w:t>your patch deployment infrastructure is healthy, the schedule is being honored, and endpoint coverage is complete. No action items this month.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Technijian's ManageEngine Endpoint Central MSP server (myrmm.technijian.com) by the annual-client-review pipeline. Every figure is sourced live from the EC SQL backend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2026-05-02 19:02 for client 'VAF' covering January 2026 (installations between the 1st and last day of the month, UTC).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email support@technijian.com.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