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VAF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397</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48</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397 patches across 48 VAF endpoints — 397 via the automated patch pipeline and 0 delivered hands-on by Technijian's tech team. 4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VAF's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 patch managment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Tue, Wed</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 patch management(CST-Time Zone)</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Tue, Wed</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71</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17.8%</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73.7%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71.9%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7.8%</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JAM Software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Tim Kosse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WiseCleaner.com,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Igor Pavlov</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Notepad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54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windows11.0-kb5074828-x64-ndp481-25H2_win11.msu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4da11e7c-5323-4742-9890-5b346baa0ad7_de46eeb2ee263130db37e7614102ba59a47e0ca2_INTELAUDIO__FUNC_01_VEN_10EC_DEV_0236.cab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MicrosoftEdgeWebView2RuntimeInstallerX64_145.0.3800.65.exe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MicrosoftEdgeWebView2RuntimeInstallerX64_145.0.3800.58.exe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52e54d9e-d959-439e-b056-96200d85163a_9430477addbfc0dd49c054dd13655b8274c11abd_PCI_VEN_8086_DEV_9A49.cab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microsoftedgeenterprise_145.0.3800.65_x64.msi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windows10.0-kb5075906-x64-2022.msu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revosetup_2.6.8.exe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windows11.0-kb5077181-x64-25H2_win11.msu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7ed4d21b-2cf4-468a-932b-a5fc5377317f_68febbb323940739605cc6667a95cdc438949c73_PCI__VEN_8086_DEV_A7A1.cab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AcroRdrDCx64Upd2500121208.msp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44d4abfb-fcc1-4ae2-9416-3e64c8d748f2_41b8d13b444c46cc3c4111cd61597592ecad9097.cab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fa684a9b-e713-413d-a517-989700b74ccd_762137e60a368bf33939959b923821491da0d4ce_PCI_VEN_8086_DEV_7D45.cab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ZoomInstallerFull_6.7.5.30439_64.exe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February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372</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795</w:t>
            </w:r>
          </w:p>
        </w:tc>
      </w:tr>
    </w:tbl>
    <w:p>
      <w:pPr>
        <w:spacing w:after="160"/>
      </w:pPr>
      <w:r>
        <w:rPr>
          <w:rFonts w:ascii="Open Sans" w:hAnsi="Open Sans"/>
          <w:b/>
          <w:i w:val="0"/>
          <w:color w:val="1A1A2E"/>
          <w:sz w:val="22"/>
        </w:rPr>
        <w:t>Through February 2026, Technijian has deployed 795 patches year-to-date — including 4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397 security and feature patches </w:t>
      </w:r>
      <w:r>
        <w:rPr>
          <w:rFonts w:ascii="Open Sans" w:hAnsi="Open Sans"/>
          <w:b w:val="0"/>
          <w:i w:val="0"/>
          <w:color w:val="59595B"/>
          <w:sz w:val="22"/>
        </w:rPr>
        <w:t>across 48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4 Critical-severity vulnerabilities </w:t>
      </w:r>
      <w:r>
        <w:rPr>
          <w:rFonts w:ascii="Open Sans" w:hAnsi="Open Sans"/>
          <w:b w:val="0"/>
          <w:i w:val="0"/>
          <w:color w:val="59595B"/>
          <w:sz w:val="22"/>
        </w:rPr>
        <w:t>by deploying the corresponding vendor patches before they could be exploited in the wild.</w:t>
      </w:r>
    </w:p>
    <w:p>
      <w:pPr>
        <w:pStyle w:val="ListBullet"/>
        <w:spacing w:after="80"/>
      </w:pPr>
      <w:r>
        <w:rPr>
          <w:rFonts w:ascii="Open Sans" w:hAnsi="Open Sans"/>
          <w:b/>
          <w:i w:val="0"/>
          <w:color w:val="1A1A2E"/>
          <w:sz w:val="22"/>
        </w:rPr>
        <w:t xml:space="preserve">Closed 13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13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Tue,Wed (every week), 22:59-02:00 on Tue,Wed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 Trucking. Based on that classification, the data Technijian's stack is helping protect is most likely characterized as: Customer PII / Financial.</w:t>
      </w:r>
    </w:p>
    <w:p>
      <w:pPr>
        <w:spacing w:after="160"/>
      </w:pPr>
      <w:r>
        <w:rPr>
          <w:rFonts w:ascii="Open Sans" w:hAnsi="Open Sans"/>
          <w:b w:val="0"/>
          <w:i w:val="0"/>
          <w:color w:val="59595B"/>
          <w:sz w:val="21"/>
        </w:rPr>
        <w:t>Auto dealers fall under the FTC Safeguards Rule for customer financial data; trucking falls under DOT regs. Both handle California-resident PII triggering CCPA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6 endpoint(s) received fewer patches than the fleet average this month, which often means the device was powered off during the patch window. Enabling WoL on these machines lets the pipeline reach them automatically during the next scheduled window.</w:t>
      </w:r>
    </w:p>
    <w:p>
      <w:pPr>
        <w:pStyle w:val="ListBullet"/>
        <w:spacing w:after="80"/>
      </w:pPr>
      <w:r>
        <w:rPr>
          <w:rFonts w:ascii="Open Sans" w:hAnsi="Open Sans"/>
          <w:b/>
          <w:i w:val="0"/>
          <w:color w:val="1A1A2E"/>
          <w:sz w:val="22"/>
        </w:rPr>
        <w:t xml:space="preserve">Reboot at next convenience if prompted: </w:t>
      </w:r>
      <w:r>
        <w:rPr>
          <w:rFonts w:ascii="Open Sans" w:hAnsi="Open Sans"/>
          <w:b w:val="0"/>
          <w:i w:val="0"/>
          <w:color w:val="59595B"/>
          <w:sz w:val="22"/>
        </w:rPr>
        <w:t>4 Critical-severity patches were deployed this month. Some Microsoft and driver patches only finalize on the next reboot — letting users reboot at their convenience within 5 business days completes the security closure.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'VAF'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