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VG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 deployed 6 patches across 1 VG endpoints — 6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VG's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VG-DC-3CX-02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14.3%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57.1%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28.6%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71.4%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28.6%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7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googlechromestandaloneenterprise64_147.0.7727.117.msi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windows10.0-kb5091575-x64-2022.msu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googlechromestandaloneenterprise64_147.0.7727.102.msi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MicrosoftEdgeWebView2RuntimeInstallerX64_147.0.3912.72.exe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microsoftedgeenterprise_147.0.3912.72_x64.msi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windows-kb890830-x64-v5.140.exe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windows10.0-kb5082425-x64-ndp481-2022.msu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April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April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April 2026, Technijian has deployed 20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6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1 of your endpoints during April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2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General Business. Based on that classification, the data Technijian's stack is helping protect is most likely characterized as: Customer / employee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No clear industry signal in the client name — defaulting to general California business privacy law (CCPA) for any California-resident data the client processes. Tech can override the industry / compliance scope by editing this file.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19:02 for client 'VG'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