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Cybersecurity Activity Report</w:t>
      </w:r>
    </w:p>
    <w:p>
      <w:pPr>
        <w:spacing w:after="120"/>
        <w:jc w:val="center"/>
      </w:pPr>
      <w:r>
        <w:rPr>
          <w:rFonts w:ascii="Open Sans" w:hAnsi="Open Sans"/>
          <w:b w:val="0"/>
          <w:i w:val="0"/>
          <w:color w:val="59595B"/>
          <w:sz w:val="32"/>
        </w:rPr>
        <w:t>Acuity Advisors</w:t>
      </w:r>
    </w:p>
    <w:p>
      <w:pPr>
        <w:jc w:val="center"/>
      </w:pPr>
      <w:r>
        <w:rPr>
          <w:rFonts w:ascii="Open Sans" w:hAnsi="Open Sans"/>
          <w:b w:val="0"/>
          <w:i w:val="0"/>
          <w:color w:val="59595B"/>
          <w:sz w:val="24"/>
        </w:rPr>
        <w:t>March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Acuity Advisors during March 2026. The Huntress managed detection and response (MDR) platform monitored your endpoints 24x7 and Technijian's security operations team reviewed every alert that fired. Below is a plain-English summary of what we saw,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9</w:t>
            </w:r>
          </w:p>
          <w:p>
            <w:pPr>
              <w:spacing w:before="0" w:after="240"/>
              <w:jc w:val="center"/>
            </w:pPr>
            <w:r>
              <w:rPr>
                <w:rFonts w:ascii="Open Sans" w:hAnsi="Open Sans"/>
                <w:b w:val="0"/>
                <w:i w:val="0"/>
                <w:color w:val="59595B"/>
                <w:sz w:val="20"/>
              </w:rPr>
              <w:t>Endpoints Protected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9</w:t>
            </w:r>
          </w:p>
          <w:p>
            <w:pPr>
              <w:spacing w:before="0" w:after="240"/>
              <w:jc w:val="center"/>
            </w:pPr>
            <w:r>
              <w:rPr>
                <w:rFonts w:ascii="Open Sans" w:hAnsi="Open Sans"/>
                <w:b w:val="0"/>
                <w:i w:val="0"/>
                <w:color w:val="59595B"/>
                <w:sz w:val="20"/>
              </w:rPr>
              <w:t>Active in Last 7 Days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0</w:t>
            </w:r>
          </w:p>
          <w:p>
            <w:pPr>
              <w:spacing w:before="0" w:after="240"/>
              <w:jc w:val="center"/>
            </w:pPr>
            <w:r>
              <w:rPr>
                <w:rFonts w:ascii="Open Sans" w:hAnsi="Open Sans"/>
                <w:b w:val="0"/>
                <w:i w:val="0"/>
                <w:color w:val="59595B"/>
                <w:sz w:val="20"/>
              </w:rPr>
              <w:t>Incidents Investigated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Signals Reviewed</w:t>
            </w:r>
          </w:p>
        </w:tc>
      </w:tr>
    </w:tbl>
    <w:tbl>
      <w:tblPr>
        <w:tblW w:type="auto" w:w="0"/>
        <w:tblLook w:firstColumn="1" w:firstRow="1" w:lastColumn="0" w:lastRow="0" w:noHBand="0" w:noVBand="1" w:val="04A0"/>
      </w:tblPr>
      <w:tblGrid>
        <w:gridCol w:w="9360"/>
      </w:tblGrid>
      <w:tr>
        <w:tc>
          <w:tcPr>
            <w:tcW w:type="dxa" w:w="9360"/>
            <w:shd w:val="clear" w:color="auto" w:fill="EAF7EE"/>
            <w:tcBorders>
              <w:top w:val="single" w:sz="12" w:color="28A745"/>
              <w:left w:val="single" w:sz="12" w:color="28A745"/>
              <w:bottom w:val="single" w:sz="12" w:color="28A745"/>
              <w:right w:val="single" w:sz="12" w:color="28A745"/>
            </w:tcBorders>
          </w:tcPr>
          <w:p>
            <w:pPr>
              <w:spacing w:before="120" w:after="120"/>
            </w:pPr>
            <w:r>
              <w:rPr>
                <w:rFonts w:ascii="Open Sans" w:hAnsi="Open Sans"/>
                <w:b w:val="0"/>
                <w:i w:val="0"/>
                <w:color w:val="1A1A2E"/>
                <w:sz w:val="22"/>
              </w:rPr>
              <w:t>All monitored endpoints checked in on schedule and Microsoft Defender / firewall posture is healthy across your fleet. No action items this month.</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Endpoint Protection</w:t>
            </w:r>
          </w:p>
        </w:tc>
      </w:tr>
    </w:tbl>
    <w:p>
      <w:pPr>
        <w:spacing w:after="160"/>
      </w:pPr>
      <w:r>
        <w:rPr>
          <w:rFonts w:ascii="Open Sans" w:hAnsi="Open Sans"/>
          <w:b w:val="0"/>
          <w:i w:val="0"/>
          <w:color w:val="59595B"/>
          <w:sz w:val="22"/>
        </w:rPr>
        <w:t>Every protected computer reports back to Huntress on a regular interval. The breakdown below shows which endpoints have been phoning home, how recently, and the state of their built-in defenses (Microsoft Defender + Windows Firewall).</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endpoints under management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24 hours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7 days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Stale (8 - 30 days since last check-in)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Inactive (more than 30 days since last check-in)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Never seen by the platform</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p/>
    <w:p>
      <w:pPr>
        <w:spacing w:after="160"/>
      </w:pPr>
      <w:r>
        <w:rPr>
          <w:rFonts w:ascii="Open Sans" w:hAnsi="Open Sans"/>
          <w:b/>
          <w:i w:val="0"/>
          <w:color w:val="1A1A2E"/>
          <w:sz w:val="24"/>
        </w:rPr>
        <w:t>Operating system distribution</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Operating System</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Pro</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10 Pro</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bl>
    <w:p/>
    <w:p>
      <w:pPr>
        <w:spacing w:after="160"/>
      </w:pPr>
      <w:r>
        <w:rPr>
          <w:rFonts w:ascii="Open Sans" w:hAnsi="Open Sans"/>
          <w:b/>
          <w:i w:val="0"/>
          <w:color w:val="1A1A2E"/>
          <w:sz w:val="24"/>
        </w:rPr>
        <w:t>Microsoft Defender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r>
    </w:tbl>
    <w:p/>
    <w:p>
      <w:pPr>
        <w:spacing w:after="160"/>
      </w:pPr>
      <w:r>
        <w:rPr>
          <w:rFonts w:ascii="Open Sans" w:hAnsi="Open Sans"/>
          <w:b/>
          <w:i w:val="0"/>
          <w:color w:val="1A1A2E"/>
          <w:sz w:val="24"/>
        </w:rPr>
        <w:t>Windows Firewall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Enabled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No incident reports or active signals were raised against your environment during March 2026. Continuous monitoring stayed in place the entire period — a quiet month means our platform did not detect actor activity that needed a response.</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Every endpoint was monitored 24x7 by the Huntress sensor. 9 of 9 agent(s) reported in within the last 7 days.</w:t>
      </w:r>
    </w:p>
    <w:p>
      <w:pPr>
        <w:pStyle w:val="ListBullet"/>
        <w:spacing w:after="80"/>
      </w:pPr>
      <w:r>
        <w:rPr>
          <w:rFonts w:ascii="Open Sans" w:hAnsi="Open Sans"/>
          <w:b/>
          <w:i w:val="0"/>
          <w:color w:val="1A1A2E"/>
          <w:sz w:val="22"/>
        </w:rPr>
        <w:t xml:space="preserve">Alert review. </w:t>
      </w:r>
      <w:r>
        <w:rPr>
          <w:rFonts w:ascii="Open Sans" w:hAnsi="Open Sans"/>
          <w:b w:val="0"/>
          <w:i w:val="0"/>
          <w:color w:val="59595B"/>
          <w:sz w:val="22"/>
        </w:rPr>
        <w:t>Our security operations team triaged 0 signal(s) and actioned 0 incident report(s) raised this month.</w:t>
      </w:r>
    </w:p>
    <w:p>
      <w:pPr>
        <w:pStyle w:val="ListBullet"/>
        <w:spacing w:after="80"/>
      </w:pPr>
      <w:r>
        <w:rPr>
          <w:rFonts w:ascii="Open Sans" w:hAnsi="Open Sans"/>
          <w:b/>
          <w:i w:val="0"/>
          <w:color w:val="1A1A2E"/>
          <w:sz w:val="22"/>
        </w:rPr>
        <w:t xml:space="preserve">Reports &amp; posture review. </w:t>
      </w:r>
      <w:r>
        <w:rPr>
          <w:rFonts w:ascii="Open Sans" w:hAnsi="Open Sans"/>
          <w:b w:val="0"/>
          <w:i w:val="0"/>
          <w:color w:val="59595B"/>
          <w:sz w:val="22"/>
        </w:rPr>
        <w:t>5 platform-generated security report(s) overlapped this month and were reviewed for trends and emerging risks.</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Microsoft Defender state, Windows Firewall state, agent version, and last-callback timestamp were captured for every endpoint to drive remediation discussions.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Huntress announced no major platform changes this month. Routine detection-content updates and sensor improvements continued to roll out automatically. Technijian tracks Huntress's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val="0"/>
          <w:i w:val="0"/>
          <w:color w:val="59595B"/>
          <w:sz w:val="22"/>
        </w:rPr>
        <w:t>No action is required from your team this month. Coverage is healthy across the board.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Huntress and CrowdStrike Falcon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Huntress and CrowdStrike are deliberately complementary. Huntress is tuned for the SMB and mid-market threat landscape — phishing-driven footholds, persistence tradecraft, credential theft, and the kinds of attacks that target managed-service customers. CrowdStrike's Falcon is industry-leading nation-state-grade EDR with the broadest telemetry collection and the most mature threat-intel feed in the market.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Huntress's SOC and CrowdStrike's Overwatch team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provides 24x7 managed detection and response (MDR) on top of the Huntress security platform. Activity captured here reflects data pulled directly from the Huntress API for your tenant. Endpoint inventory is a point-in-time snapshot taken at report generation; incident, signal, and report data are filtered to the calendar month above.</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