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American Fundstars Financial Group LLC — March 2026</w:t>
      </w:r>
    </w:p>
    <w:p>
      <w:pPr>
        <w:jc w:val="center"/>
      </w:pPr>
      <w:r>
        <w:rPr>
          <w:rFonts w:ascii="Open Sans" w:hAnsi="Open Sans"/>
          <w:b w:val="0"/>
          <w:i w:val="0"/>
          <w:color w:val="59595B"/>
          <w:sz w:val="24"/>
        </w:rPr>
        <w:t>Reporting period: 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clear — all firewalls remained connected and no alerts were recorded during the reporting period.</w:t>
            </w:r>
          </w:p>
        </w:tc>
      </w:tr>
    </w:tbl>
    <w:p>
      <w:pPr>
        <w:spacing w:after="160"/>
      </w:pPr>
      <w:r>
        <w:rPr>
          <w:rFonts w:ascii="Open Sans" w:hAnsi="Open Sans"/>
          <w:b w:val="0"/>
          <w:i w:val="0"/>
          <w:color w:val="59595B"/>
          <w:sz w:val="22"/>
        </w:rPr>
        <w:t>This report summarizes Sophos XGS firewall connectivity, security posture, and operational activity for American Fundstars Financial Group LLC during March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p>
      <w:pPr>
        <w:spacing w:after="160"/>
      </w:pPr>
      <w:r>
        <w:rPr>
          <w:rFonts w:ascii="Open Sans" w:hAnsi="Open Sans"/>
          <w:b w:val="0"/>
          <w:i w:val="0"/>
          <w:color w:val="59595B"/>
          <w:sz w:val="22"/>
        </w:rPr>
        <w:t>No firewall inventory data available for this period.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PortA-WAN_AT&amp;T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69.230.152.250</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255.255.252.0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 Mbps - Full Duplex, FEC off</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10.66.0.1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 Mbps - Full Duplex, FEC off</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PortC</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255.255.255.255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(2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firewall policy for MTA</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#Default_Network_Policy</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(3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#NAT_Default_Network_Policy</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NAT rule for MTA</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VLAN-10-User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PortB-DHCP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VLAN-20-Guest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PortB.20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(13):</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AFFG_Web_Filtering_Policy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Web filtering policy for AFFG acceptable use and security compliance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29</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62</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March 2026: 0. Sophos Central alerts include connectivity events (gateway up/down), license notifications, and policy violations.</w:t>
      </w:r>
    </w:p>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alerts were recorded via Sophos Central during this period. All firewalls maintained connectivity and no platform-level events were generated.</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Configure syslog forwarding: </w:t>
      </w:r>
      <w:r>
        <w:rPr>
          <w:rFonts w:ascii="Open Sans" w:hAnsi="Open Sans"/>
          <w:b w:val="0"/>
          <w:i w:val="0"/>
          <w:color w:val="59595B"/>
          <w:sz w:val="22"/>
        </w:rPr>
        <w:t>Sophos Central reports zero firewall events. IPS and threat events are only surfaced in Central if syslog forwarding is enabled. Configure Log Settings to forward to the Technijian DC syslog receiver for full threat-event visibility in future reports.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18:14 for client 'AFFG'. Configuration snapshot: 2026-05-01.</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