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M365 Activity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Apartment Association of Orange County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Reporting period: 2026-01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addressee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summarizes Microsoft 365 security, compliance, and storage posture for Apartment Association of Orange County for the month ending 2026-01. It is generated from Microsoft Graph API data captured via Technijian's GDAP partner relationship and Cloud Solution Provider access.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N/A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Compliance Posture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3,589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Sign-in Events (30d)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2,961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Failed Sign-ins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4 threats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Threat Flags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EE"/>
            <w:tcBorders>
              <w:top w:val="single" w:sz="12" w:color="F67D4B"/>
              <w:left w:val="single" w:sz="12" w:color="F67D4B"/>
              <w:bottom w:val="single" w:sz="12" w:color="F67D4B"/>
              <w:right w:val="single" w:sz="12" w:color="F67D4B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1 resource(s) at &gt;=90% storage quota — risk of mail/sync failure.  Active brute-force or password-spray attempt(s) detected against user accounts.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Identity &amp; Access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compliance data was available for this tenant during this reporting period. See the About This Report section for context.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License Inventory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license subscription data was available for this tenant during this reporting period.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Microsoft 365 mailbox, OneDrive, and SharePoint storage usage as reported by the M365 reporting service. Resources at 90% or above of quota are critical and may begin to fail.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Service</w:t>
            </w:r>
          </w:p>
        </w:tc>
        <w:tc>
          <w:tcPr>
            <w:tcW w:type="dxa" w:w="345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Resource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Used / Quota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Used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</w:tr>
      <w:tr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mailbox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9D6DEA164FC68F52DB4BD2B37658EE90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48.7 / 50 GB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97.4%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CRITICAL</w:t>
            </w:r>
          </w:p>
        </w:tc>
      </w:tr>
      <w:tr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mailbox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AFA1C21CA81C6FF83F00058A9C84E9AB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42.4 / 50 GB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84.9%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WARN</w:t>
            </w:r>
          </w:p>
        </w:tc>
      </w:tr>
      <w:tr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mailbox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77A3F553666AB77020A502E5079335C8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38.3 / 50 GB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76.6%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WARN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Sign-in Security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the 30-day window ending 2026-03-31, this tenant logged 3,589 sign-in events with 2,961 (82.5%) failing authentication. 0 risky sign-in event(s) were flagged by Microsoft Identity Protection.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Threat Indicator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51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Detection Rule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Brute-force activity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10+ failures against a single user in the window</w:t>
            </w:r>
          </w:p>
        </w:tc>
      </w:tr>
      <w:tr>
        <w:tc>
          <w:tcPr>
            <w:tcW w:type="dxa" w:w="30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Password spray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5+ users targeted from a single IP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foreign sign-in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login from outside the United States</w:t>
            </w:r>
          </w:p>
        </w:tc>
      </w:tr>
      <w:tr>
        <w:tc>
          <w:tcPr>
            <w:tcW w:type="dxa" w:w="30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Legacy authentication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Bypasses MFA — should be blocked via Conditional Access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High MFA failure rate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5+ MFA failures observed (potential MFA fatigue attack)</w:t>
            </w:r>
          </w:p>
        </w:tc>
      </w:tr>
    </w:tbl>
    <w:p/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Top brute-force targets: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User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Failed Attempts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info@aaoc.com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2052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debbied@aaoc.com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744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help@aaoc.com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38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administrator@aaoc.com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36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contact@aaoc.com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29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chloe@aaoc.com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vcopeland@aaoc.com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</w:tr>
    </w:tbl>
    <w:p/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Password-spray source IPs: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Source IP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Users Targeted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98.153.179.90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Findings &amp; Recommendations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Priority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Finding</w:t>
            </w:r>
          </w:p>
        </w:tc>
        <w:tc>
          <w:tcPr>
            <w:tcW w:type="dxa" w:w="54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Recommended Action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P1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Mailbox '9D6DEA164FC68F52DB4BD2B37658EE90' at 97.4%</w:t>
            </w:r>
          </w:p>
        </w:tc>
        <w:tc>
          <w:tcPr>
            <w:tcW w:type="dxa" w:w="54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Approaching quota. Open CP ticket: archive old data, increase storage SKU, or migrate large items to SharePoint/OneDrive shared site.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P1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Active brute-force attempts in progress</w:t>
            </w:r>
          </w:p>
        </w:tc>
        <w:tc>
          <w:tcPr>
            <w:tcW w:type="dxa" w:w="54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Targeted accounts: info@aaoc.com, debbied@aaoc.com, help@aaoc.com. Verify MFA enforcement, consider tenant-level CA block on attacker IPs (see Sign-in Security section).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P1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Password-spray attack detected</w:t>
            </w:r>
          </w:p>
        </w:tc>
        <w:tc>
          <w:tcPr>
            <w:tcW w:type="dxa" w:w="54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 single IP attempted credential stuffing across multiple users. Add the source IP(s) to a Conditional Access deny list.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P2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sign-in from non-US country</w:t>
            </w:r>
          </w:p>
        </w:tc>
        <w:tc>
          <w:tcPr>
            <w:tcW w:type="dxa" w:w="54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Confirm with each affected user. If not authorized, force password reset, revoke active sessions, and review what was accessed.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P2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Legacy auth client connections observed</w:t>
            </w:r>
          </w:p>
        </w:tc>
        <w:tc>
          <w:tcPr>
            <w:tcW w:type="dxa" w:w="54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Some clients are still authenticating via SMTP/IMAP/POP3/EAS without modern auth. Identify devices and migrate to modern protocols.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automatically generated each month from Microsoft Graph API data captured via Technijian's Cloud Solution Provider and GDAP (Granular Delegated Admin Privileges) partner relationships.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Data sources &amp; cadences: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Security pull: </w:t>
      </w:r>
      <w:r>
        <w:rPr>
          <w:rFonts w:ascii="Open Sans" w:hAnsi="Open Sans"/>
          <w:b w:val="0"/>
          <w:i w:val="0"/>
          <w:color w:val="59595B"/>
          <w:sz w:val="22"/>
        </w:rPr>
        <w:t>Daily 06:00 PT — sign-in audit logs (last 24h)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Compliance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MFA, Conditional Access, admin roles, secure score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Storage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mailbox, OneDrive, SharePoint usage (D7)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Trend pull: </w:t>
      </w:r>
      <w:r>
        <w:rPr>
          <w:rFonts w:ascii="Open Sans" w:hAnsi="Open Sans"/>
          <w:b w:val="0"/>
          <w:i w:val="0"/>
          <w:color w:val="59595B"/>
          <w:sz w:val="22"/>
        </w:rPr>
        <w:t>Monthly 1st 07:30 PT — D180 storage trend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Definitions: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Failed sign-in: </w:t>
      </w:r>
      <w:r>
        <w:rPr>
          <w:rFonts w:ascii="Open Sans" w:hAnsi="Open Sans"/>
          <w:b w:val="0"/>
          <w:i w:val="0"/>
          <w:color w:val="59595B"/>
          <w:sz w:val="22"/>
        </w:rPr>
        <w:t>Authentication failure where status.errorCode != 0 (wrong password, MFA fail, blocked, etc).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Brute-force flag: </w:t>
      </w:r>
      <w:r>
        <w:rPr>
          <w:rFonts w:ascii="Open Sans" w:hAnsi="Open Sans"/>
          <w:b w:val="0"/>
          <w:i w:val="0"/>
          <w:color w:val="59595B"/>
          <w:sz w:val="22"/>
        </w:rPr>
        <w:t>10 or more failed sign-ins against a single user account within the window.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Password spray flag: </w:t>
      </w:r>
      <w:r>
        <w:rPr>
          <w:rFonts w:ascii="Open Sans" w:hAnsi="Open Sans"/>
          <w:b w:val="0"/>
          <w:i w:val="0"/>
          <w:color w:val="59595B"/>
          <w:sz w:val="22"/>
        </w:rPr>
        <w:t>5 or more distinct users targeted from a single source IP.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Foreign success flag: </w:t>
      </w:r>
      <w:r>
        <w:rPr>
          <w:rFonts w:ascii="Open Sans" w:hAnsi="Open Sans"/>
          <w:b w:val="0"/>
          <w:i w:val="0"/>
          <w:color w:val="59595B"/>
          <w:sz w:val="22"/>
        </w:rPr>
        <w:t>Authenticated sign-in originating from outside the United States.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Legacy auth flag: </w:t>
      </w:r>
      <w:r>
        <w:rPr>
          <w:rFonts w:ascii="Open Sans" w:hAnsi="Open Sans"/>
          <w:b w:val="0"/>
          <w:i w:val="0"/>
          <w:color w:val="59595B"/>
          <w:sz w:val="22"/>
        </w:rPr>
        <w:t>Connection via Exchange ActiveSync, IMAP, POP3, SMTP — bypasses MFA.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Risky sign-in: </w:t>
      </w:r>
      <w:r>
        <w:rPr>
          <w:rFonts w:ascii="Open Sans" w:hAnsi="Open Sans"/>
          <w:b w:val="0"/>
          <w:i w:val="0"/>
          <w:color w:val="59595B"/>
          <w:sz w:val="22"/>
        </w:rPr>
        <w:t>Risky sign-in flagged by Microsoft Identity Protection (Azure AD Premium P2 only).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Tenant: Apartment Association of Orange County (047f7c77-f0d5-4d53-8d99-e827f436a425)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Notes: GDAP expires 2026-11-12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Questions about this report?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