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BrandyWine Homes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2026-01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BrandyWine Homes for the month ending 2026-01.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2,406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1,642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4 threats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Active brute-force or password-spray attempt(s) detected against user accounts.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/ Quota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Used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sharepoint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Projects Owners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908.0 / 1024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88.7%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teams_sharepoint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Company Administrator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0.9 / 1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87.6%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Angela Meyer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43.2 / 50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86.4%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Julio Sanchez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78.7 / 100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78.7%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Alex Hernandez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78.6 / 100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78.6%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Michael Habitz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77.7 / 100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77.7%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2,406 sign-in events with 1,642 (68.2%) failing authentication. 2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Top brute-force targets: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Failed Attempts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dave@brandywine-homes.com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scott@brandywine-homes.com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425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brett@brandywine-homes.com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chris@brandywine-homes.com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myle@brandywine-homes.com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sales@brandywine-homes.com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technijian@brandywine-homes.com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administrator@brandywine-homes.com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Password-spray source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 IP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Users Targeted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64.58.142.218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98.174.153.35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Active brute-force attempts in progress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Targeted accounts: dave@brandywine-homes.com, scott@brandywine-homes.com, brett@brandywine-homes.com. Verify MFA enforcement, consider tenant-level CA block on attacker IPs (see Sign-in Security section).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Password-spray attack detected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 single IP attempted credential stuffing across multiple users. Add the source IP(s) to a Conditional Access deny list.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client connections observed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Some clients are still authenticating via SMTP/IMAP/POP3/EAS without modern auth. Identify devices and migrate to modern protocols.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BrandyWine Homes (c68196d0-806d-495a-b5f4-5ab22adfc845)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2026-08-27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