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CBI — Veeam Backup for Microsoft 365</w:t>
      </w:r>
    </w:p>
    <w:p>
      <w:pPr>
        <w:spacing w:after="160"/>
      </w:pPr>
      <w:r>
        <w:rPr>
          <w:rFonts w:ascii="Open Sans" w:hAnsi="Open Sans"/>
          <w:b w:val="0"/>
          <w:i w:val="0"/>
          <w:color w:val="59595B"/>
          <w:sz w:val="24"/>
        </w:rPr>
        <w:t>Monthly Backup Report — 2026-01</w:t>
      </w:r>
    </w:p>
    <w:p>
      <w:pPr>
        <w:spacing w:after="160"/>
      </w:pPr>
      <w:r>
        <w:rPr>
          <w:rFonts w:ascii="Open Sans" w:hAnsi="Open Sans"/>
          <w:b w:val="0"/>
          <w:i w:val="0"/>
          <w:color w:val="59595B"/>
          <w:sz w:val="20"/>
        </w:rPr>
        <w:t>M365 tenant: cbinteriorsdba.onmicrosoft.com</w:t>
      </w:r>
    </w:p>
    <w:p>
      <w:pPr>
        <w:spacing w:after="160"/>
      </w:pPr>
      <w:r>
        <w:rPr>
          <w:rFonts w:ascii="Open Sans" w:hAnsi="Open Sans"/>
          <w:b w:val="0"/>
          <w:i w:val="0"/>
          <w:color w:val="59595B"/>
          <w:sz w:val="20"/>
        </w:rPr>
        <w:t>Report generated: 2026-05-02 18:21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21 M365 users in this tenant are protected by Veeam Backup for Microsoft 365. Total backup storage in use is 350.22 GB across 1 repository,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21</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11</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350.22 GB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Backup Jobs (Running)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CBI-O365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2026-05-02T08:42:48.8187376Z</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2026-05-02T20:10:00Z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350.22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1023.98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671.18 GB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Backups\bkp_CBI-365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194.10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55.4%</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3,583 / 3,594</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86.68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24.8%</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3,520 / 3,594</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52.11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14.9%</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3,527 / 3,594</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17.33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5.0%</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3,519 / 3,594</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21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enjoytheride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enjoytheride@cbinteriors.net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Jennifer Jenike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jennifer.j@cbinteriors.net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Mike Surmanian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MikeSurmanian@cbinteriors.net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 Austin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Patty.a@cbinteriors.net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CBFI Admin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cbfadmin@cbinteriors.net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Erica Cardenalli</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erica.c@cbinteriors.net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Renee Darling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Renee.D@cbinteriors.net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Andy Stasch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andy.s@cbinteriors.net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Katy Kimari</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katy.k@cbinteriors.net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Backup Admin Uv2b</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backupadminUv2b@cbinteriors.net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 Search Mailbox</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DiscoverySearchMailbox{D919BA05-46A6-415f-80AD-7E09334BB852}@cbinteriorsdba.onmicrosoft.com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  Weiner</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Jason.w@cbinteriors.net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Amanda Kennedy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Amanda.k@cbinteriors.net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Troy Kenney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troy.k@cbinteriors.net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Tiffany George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tiffany.g@cbinteriors.net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 Support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Andy Busher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andy.b@cbinteriors.net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Amber Summers-Santos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Amber.s@cbinteriors.net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  Purchasing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purchasing@cbinteriors.net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Jorge Chavez</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jorge.c@cbinteriors.net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 Scheduling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scheduling@cbinteriors.net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350.22 GB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393.95 GB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+43.73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443.14 GB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+92.92 GB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498.47 GB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+148.25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560.71 GB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+210.49 GB</w:t>
            </w:r>
          </w:p>
        </w:tc>
      </w:tr>
    </w:tbl>
    <w:p>
      <w:r>
        <w:drawing>
          <wp:inline xmlns:a="http://schemas.openxmlformats.org/drawingml/2006/main" xmlns:pic="http://schemas.openxmlformats.org/drawingml/2006/picture">
            <wp:extent cx="5943600" cy="2670313"/>
            <wp:docPr id="1" name="Picture 1"/>
            <wp:cNvGraphicFramePr>
              <a:graphicFrameLocks noChangeAspect="1"/>
            </wp:cNvGraphicFramePr>
            <a:graphic>
              <a:graphicData uri="http://schemas.openxmlformats.org/drawingml/2006/picture">
                <pic:pic>
                  <pic:nvPicPr>
                    <pic:cNvPr id="0" name="veeam365_trend_CBI_51268.png"/>
                    <pic:cNvPicPr/>
                  </pic:nvPicPr>
                  <pic:blipFill>
                    <a:blip r:embed="rId11"/>
                    <a:stretch>
                      <a:fillRect/>
                    </a:stretch>
                  </pic:blipFill>
                  <pic:spPr>
                    <a:xfrm>
                      <a:off x="0" y="0"/>
                      <a:ext cx="5943600" cy="2670313"/>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CBI-O365 is 34% full (671.18 GB free of 1023.98 GB capacity).</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