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Chris Bank Law</w:t>
      </w:r>
    </w:p>
    <w:p>
      <w:pPr>
        <w:jc w:val="center"/>
      </w:pPr>
      <w:r>
        <w:rPr>
          <w:rFonts w:ascii="Open Sans" w:hAnsi="Open Sans"/>
          <w:b w:val="0"/>
          <w:i w:val="0"/>
          <w:color w:val="59595B"/>
          <w:sz w:val="24"/>
        </w:rPr>
        <w:t>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Chris Bank Law during February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8</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5</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1</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5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February 2026, CrowdStrike Falcon raised 8 alert(s) across 1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CLBSHEDPC</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CLBSHEDPC at 2026-02-25T16:13:27Z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CLBSHEDPC</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SpearPhish4</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CLBSHEDPC</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CLBSHEDPC</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CLBSHEDPC</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CLBSHEDPC at 2026-02-10T00:40:27Z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CLBSHEDPC</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CLBSHEDPC</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CLBSHEDPC</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CLBSHEDPC</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8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CLBSHEDPC</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CLBSHEDPC</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CLBSHEDPC</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CLBSHEDPC</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CLBSHEDPC</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email support@technijian.com to review each open Critical/High alert with our team,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Email support@technijian.com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