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3 virtual machine(s) and 1 datastore(s) for CCC during January 2026, with 3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3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January 2026, with 3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'CCC'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