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CCC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3 virtual machine(s) and 1 datastore(s) for CCC during February 2026, with 3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3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February 2026, with 3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'CCC'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