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CCC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3 virtual machine(s) and 1 datastore(s) for CCC during March 2026, with 3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3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March 2026, with 3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18:25 for client 'CCC' covering March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