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val="clear" w:color="auto" w:fill="006DB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0" w:after="0"/>
            </w:pPr>
            <w:r>
              <w:rPr>
                <w:sz w:val="12"/>
              </w:rPr>
            </w:r>
          </w:p>
        </w:tc>
      </w:tr>
    </w:tbl>
    <w:p/>
    <w:p/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2743200" cy="5715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echnijian-logo-full-color-600x125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571500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/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52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/>
        </w:tc>
        <w:tc>
          <w:tcPr>
            <w:tcW w:type="dxa" w:w="2160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val="clear" w:color="auto" w:fill="F67D4B"/>
          </w:tcPr>
          <w:p>
            <w:pPr>
              <w:spacing w:before="0" w:after="0"/>
            </w:pPr>
            <w:r>
              <w:rPr>
                <w:sz w:val="6"/>
              </w:rPr>
            </w:r>
          </w:p>
        </w:tc>
        <w:tc>
          <w:tcPr>
            <w:tcW w:type="dxa" w:w="352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/>
        </w:tc>
      </w:tr>
    </w:tbl>
    <w:p/>
    <w:p>
      <w:pPr>
        <w:jc w:val="center"/>
      </w:pPr>
      <w:r>
        <w:rPr>
          <w:rFonts w:ascii="Open Sans" w:hAnsi="Open Sans"/>
          <w:b/>
          <w:i w:val="0"/>
          <w:color w:val="1A1A2E"/>
          <w:sz w:val="56"/>
        </w:rPr>
        <w:t>M365 Activity Report</w:t>
      </w:r>
    </w:p>
    <w:p>
      <w:pPr>
        <w:spacing w:after="120"/>
        <w:jc w:val="center"/>
      </w:pPr>
      <w:r>
        <w:rPr>
          <w:rFonts w:ascii="Open Sans" w:hAnsi="Open Sans"/>
          <w:b w:val="0"/>
          <w:i w:val="0"/>
          <w:color w:val="59595B"/>
          <w:sz w:val="32"/>
        </w:rPr>
        <w:t>Housing For Health OC Inc</w:t>
      </w:r>
    </w:p>
    <w:p>
      <w:pPr>
        <w:jc w:val="center"/>
      </w:pPr>
      <w:r>
        <w:rPr>
          <w:rFonts w:ascii="Open Sans" w:hAnsi="Open Sans"/>
          <w:b w:val="0"/>
          <w:i w:val="0"/>
          <w:color w:val="59595B"/>
          <w:sz w:val="24"/>
        </w:rPr>
        <w:t>Reporting period: 2026-04</w:t>
      </w:r>
    </w:p>
    <w:p/>
    <w:p/>
    <w:p/>
    <w:p/>
    <w:p/>
    <w:p/>
    <w:tbl>
      <w:tblPr>
        <w:tblW w:type="auto" w:w="0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val="clear" w:color="auto" w:fill="F67D4B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0" w:after="0"/>
            </w:pPr>
            <w:r>
              <w:rPr>
                <w:sz w:val="12"/>
              </w:rPr>
            </w:r>
          </w:p>
        </w:tc>
      </w:tr>
    </w:tbl>
    <w:p>
      <w:pPr>
        <w:spacing w:before="160"/>
        <w:jc w:val="center"/>
      </w:pPr>
      <w:r>
        <w:rPr>
          <w:rFonts w:ascii="Open Sans" w:hAnsi="Open Sans"/>
          <w:b w:val="0"/>
          <w:i/>
          <w:color w:val="59595B"/>
          <w:sz w:val="18"/>
        </w:rPr>
        <w:t>Confidential — prepared by Technijian for the addressee only.</w:t>
      </w:r>
    </w:p>
    <w:p>
      <w:r>
        <w:br w:type="page"/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4"/>
        <w:gridCol w:w="8976"/>
      </w:tblGrid>
      <w:tr>
        <w:tc>
          <w:tcPr>
            <w:tcW w:type="dxa" w:w="94"/>
            <w:shd w:val="clear" w:color="auto" w:fill="006DB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/>
        </w:tc>
        <w:tc>
          <w:tcPr>
            <w:tcW w:type="dxa" w:w="897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80" w:after="80"/>
            </w:pPr>
            <w:r>
              <w:rPr>
                <w:rFonts w:ascii="Open Sans" w:hAnsi="Open Sans"/>
                <w:b/>
                <w:i w:val="0"/>
                <w:color w:val="006DB6"/>
                <w:sz w:val="28"/>
              </w:rPr>
              <w:t xml:space="preserve">  Executive Summary</w:t>
            </w:r>
          </w:p>
        </w:tc>
      </w:tr>
    </w:tbl>
    <w:p>
      <w:pPr>
        <w:spacing w:after="160"/>
      </w:pPr>
      <w:r>
        <w:rPr>
          <w:rFonts w:ascii="Open Sans" w:hAnsi="Open Sans"/>
          <w:b w:val="0"/>
          <w:i w:val="0"/>
          <w:color w:val="59595B"/>
          <w:sz w:val="22"/>
        </w:rPr>
        <w:t>This report summarizes Microsoft 365 security, compliance, and storage posture for Housing For Health OC Inc for the month ending 2026-04. It is generated from Microsoft Graph API data captured via Technijian's GDAP partner relationship and Cloud Solution Provider access.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shd w:val="clear" w:color="auto" w:fill="F8F9FA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240" w:after="0"/>
              <w:jc w:val="center"/>
            </w:pPr>
            <w:r>
              <w:rPr>
                <w:rFonts w:ascii="Open Sans" w:hAnsi="Open Sans"/>
                <w:b/>
                <w:i w:val="0"/>
                <w:color w:val="CC0000"/>
                <w:sz w:val="48"/>
              </w:rPr>
              <w:t>FAIL</w:t>
            </w:r>
          </w:p>
          <w:p>
            <w:pPr>
              <w:spacing w:before="0" w:after="240"/>
              <w:jc w:val="center"/>
            </w:pPr>
            <w:r>
              <w:rPr>
                <w:rFonts w:ascii="Open Sans" w:hAnsi="Open Sans"/>
                <w:b w:val="0"/>
                <w:i w:val="0"/>
                <w:color w:val="59595B"/>
                <w:sz w:val="20"/>
              </w:rPr>
              <w:t>Compliance Posture</w:t>
            </w:r>
          </w:p>
        </w:tc>
        <w:tc>
          <w:tcPr>
            <w:tcW w:type="dxa" w:w="2340"/>
            <w:shd w:val="clear" w:color="auto" w:fill="F8F9FA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240" w:after="0"/>
              <w:jc w:val="center"/>
            </w:pPr>
            <w:r>
              <w:rPr>
                <w:rFonts w:ascii="Open Sans" w:hAnsi="Open Sans"/>
                <w:b/>
                <w:i w:val="0"/>
                <w:color w:val="006DB6"/>
                <w:sz w:val="48"/>
              </w:rPr>
              <w:t>2,561</w:t>
            </w:r>
          </w:p>
          <w:p>
            <w:pPr>
              <w:spacing w:before="0" w:after="240"/>
              <w:jc w:val="center"/>
            </w:pPr>
            <w:r>
              <w:rPr>
                <w:rFonts w:ascii="Open Sans" w:hAnsi="Open Sans"/>
                <w:b w:val="0"/>
                <w:i w:val="0"/>
                <w:color w:val="59595B"/>
                <w:sz w:val="20"/>
              </w:rPr>
              <w:t>Sign-in Events (30d)</w:t>
            </w:r>
          </w:p>
        </w:tc>
        <w:tc>
          <w:tcPr>
            <w:tcW w:type="dxa" w:w="2340"/>
            <w:shd w:val="clear" w:color="auto" w:fill="F8F9FA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240" w:after="0"/>
              <w:jc w:val="center"/>
            </w:pPr>
            <w:r>
              <w:rPr>
                <w:rFonts w:ascii="Open Sans" w:hAnsi="Open Sans"/>
                <w:b/>
                <w:i w:val="0"/>
                <w:color w:val="59595B"/>
                <w:sz w:val="48"/>
              </w:rPr>
              <w:t>16</w:t>
            </w:r>
          </w:p>
          <w:p>
            <w:pPr>
              <w:spacing w:before="0" w:after="240"/>
              <w:jc w:val="center"/>
            </w:pPr>
            <w:r>
              <w:rPr>
                <w:rFonts w:ascii="Open Sans" w:hAnsi="Open Sans"/>
                <w:b w:val="0"/>
                <w:i w:val="0"/>
                <w:color w:val="59595B"/>
                <w:sz w:val="20"/>
              </w:rPr>
              <w:t>Failed Sign-ins</w:t>
            </w:r>
          </w:p>
        </w:tc>
        <w:tc>
          <w:tcPr>
            <w:tcW w:type="dxa" w:w="2340"/>
            <w:shd w:val="clear" w:color="auto" w:fill="F8F9FA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240" w:after="0"/>
              <w:jc w:val="center"/>
            </w:pPr>
            <w:r>
              <w:rPr>
                <w:rFonts w:ascii="Open Sans" w:hAnsi="Open Sans"/>
                <w:b/>
                <w:i w:val="0"/>
                <w:color w:val="28A745"/>
                <w:sz w:val="48"/>
              </w:rPr>
              <w:t>Clean</w:t>
            </w:r>
          </w:p>
          <w:p>
            <w:pPr>
              <w:spacing w:before="0" w:after="240"/>
              <w:jc w:val="center"/>
            </w:pPr>
            <w:r>
              <w:rPr>
                <w:rFonts w:ascii="Open Sans" w:hAnsi="Open Sans"/>
                <w:b w:val="0"/>
                <w:i w:val="0"/>
                <w:color w:val="59595B"/>
                <w:sz w:val="20"/>
              </w:rPr>
              <w:t>Threat Flags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val="clear" w:color="auto" w:fill="FEF3EE"/>
            <w:tcBorders>
              <w:top w:val="single" w:sz="12" w:color="F67D4B"/>
              <w:left w:val="single" w:sz="12" w:color="F67D4B"/>
              <w:bottom w:val="single" w:sz="12" w:color="F67D4B"/>
              <w:right w:val="single" w:sz="12" w:color="F67D4B"/>
            </w:tcBorders>
          </w:tcPr>
          <w:p>
            <w:pPr>
              <w:spacing w:before="120" w:after="120"/>
            </w:pPr>
            <w:r>
              <w:rPr>
                <w:rFonts w:ascii="Open Sans" w:hAnsi="Open Sans"/>
                <w:b w:val="0"/>
                <w:i w:val="0"/>
                <w:color w:val="1A1A2E"/>
                <w:sz w:val="22"/>
              </w:rPr>
              <w:t>3 compliance check(s) failing — see Identity &amp; Access section.</w:t>
            </w:r>
          </w:p>
        </w:tc>
      </w:tr>
    </w:tbl>
    <w:p/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4"/>
        <w:gridCol w:w="8976"/>
      </w:tblGrid>
      <w:tr>
        <w:tc>
          <w:tcPr>
            <w:tcW w:type="dxa" w:w="94"/>
            <w:shd w:val="clear" w:color="auto" w:fill="006DB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/>
        </w:tc>
        <w:tc>
          <w:tcPr>
            <w:tcW w:type="dxa" w:w="897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80" w:after="80"/>
            </w:pPr>
            <w:r>
              <w:rPr>
                <w:rFonts w:ascii="Open Sans" w:hAnsi="Open Sans"/>
                <w:b/>
                <w:i w:val="0"/>
                <w:color w:val="006DB6"/>
                <w:sz w:val="28"/>
              </w:rPr>
              <w:t xml:space="preserve">  Identity &amp; Access</w:t>
            </w:r>
          </w:p>
        </w:tc>
      </w:tr>
    </w:tbl>
    <w:p>
      <w:pPr>
        <w:spacing w:after="160"/>
      </w:pPr>
      <w:r>
        <w:rPr>
          <w:rFonts w:ascii="Open Sans" w:hAnsi="Open Sans"/>
          <w:b w:val="0"/>
          <w:i w:val="0"/>
          <w:color w:val="59595B"/>
          <w:sz w:val="22"/>
        </w:rPr>
        <w:t>Microsoft Graph reports the following identity, access, and compliance posture against Technijian's baseline. Items flagged as Fail or Warn are summarized in the Findings section.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04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Check</w:t>
            </w:r>
          </w:p>
        </w:tc>
        <w:tc>
          <w:tcPr>
            <w:tcW w:type="dxa" w:w="1008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Status</w:t>
            </w:r>
          </w:p>
        </w:tc>
        <w:tc>
          <w:tcPr>
            <w:tcW w:type="dxa" w:w="2304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Result</w:t>
            </w:r>
          </w:p>
        </w:tc>
        <w:tc>
          <w:tcPr>
            <w:tcW w:type="dxa" w:w="3600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Best Practice</w:t>
            </w:r>
          </w:p>
        </w:tc>
      </w:tr>
      <w:tr>
        <w:tc>
          <w:tcPr>
            <w:tcW w:type="dxa" w:w="2304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MFA Registration</w:t>
            </w:r>
          </w:p>
        </w:tc>
        <w:tc>
          <w:tcPr>
            <w:tcW w:type="dxa" w:w="1008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CC0000"/>
                <w:sz w:val="19"/>
              </w:rPr>
              <w:t>FAIL</w:t>
            </w:r>
          </w:p>
        </w:tc>
        <w:tc>
          <w:tcPr>
            <w:tcW w:type="dxa" w:w="2304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7.5% (18/239 users)</w:t>
            </w:r>
          </w:p>
        </w:tc>
        <w:tc>
          <w:tcPr>
            <w:tcW w:type="dxa" w:w="360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Target: 100% of users registered for MFA</w:t>
            </w:r>
          </w:p>
        </w:tc>
      </w:tr>
      <w:tr>
        <w:tc>
          <w:tcPr>
            <w:tcW w:type="dxa" w:w="2304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Conditional Access Policies</w:t>
            </w:r>
          </w:p>
        </w:tc>
        <w:tc>
          <w:tcPr>
            <w:tcW w:type="dxa" w:w="1008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WARN</w:t>
            </w:r>
          </w:p>
        </w:tc>
        <w:tc>
          <w:tcPr>
            <w:tcW w:type="dxa" w:w="2304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1 enabled policies</w:t>
            </w:r>
          </w:p>
        </w:tc>
        <w:tc>
          <w:tcPr>
            <w:tcW w:type="dxa" w:w="360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Minimum: block legacy auth + require MFA for admins</w:t>
            </w:r>
          </w:p>
        </w:tc>
      </w:tr>
      <w:tr>
        <w:tc>
          <w:tcPr>
            <w:tcW w:type="dxa" w:w="2304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Legacy Authentication Blocked</w:t>
            </w:r>
          </w:p>
        </w:tc>
        <w:tc>
          <w:tcPr>
            <w:tcW w:type="dxa" w:w="1008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CC0000"/>
                <w:sz w:val="19"/>
              </w:rPr>
              <w:t>FAIL</w:t>
            </w:r>
          </w:p>
        </w:tc>
        <w:tc>
          <w:tcPr>
            <w:tcW w:type="dxa" w:w="2304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Not blocked</w:t>
            </w:r>
          </w:p>
        </w:tc>
        <w:tc>
          <w:tcPr>
            <w:tcW w:type="dxa" w:w="360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Legacy auth bypasses MFA — must be blocked</w:t>
            </w:r>
          </w:p>
        </w:tc>
      </w:tr>
      <w:tr>
        <w:tc>
          <w:tcPr>
            <w:tcW w:type="dxa" w:w="2304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Global Administrator Count</w:t>
            </w:r>
          </w:p>
        </w:tc>
        <w:tc>
          <w:tcPr>
            <w:tcW w:type="dxa" w:w="1008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28A745"/>
                <w:sz w:val="19"/>
              </w:rPr>
              <w:t>PASS</w:t>
            </w:r>
          </w:p>
        </w:tc>
        <w:tc>
          <w:tcPr>
            <w:tcW w:type="dxa" w:w="2304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2 Global Admins</w:t>
            </w:r>
          </w:p>
        </w:tc>
        <w:tc>
          <w:tcPr>
            <w:tcW w:type="dxa" w:w="360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Best practice: 2-3 Global Admins maximum</w:t>
            </w:r>
          </w:p>
        </w:tc>
      </w:tr>
      <w:tr>
        <w:tc>
          <w:tcPr>
            <w:tcW w:type="dxa" w:w="2304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Microsoft Secure Score</w:t>
            </w:r>
          </w:p>
        </w:tc>
        <w:tc>
          <w:tcPr>
            <w:tcW w:type="dxa" w:w="1008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WARN</w:t>
            </w:r>
          </w:p>
        </w:tc>
        <w:tc>
          <w:tcPr>
            <w:tcW w:type="dxa" w:w="2304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146.16/278.0 (52.6%)</w:t>
            </w:r>
          </w:p>
        </w:tc>
        <w:tc>
          <w:tcPr>
            <w:tcW w:type="dxa" w:w="360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Target: &gt;60% of available score</w:t>
            </w:r>
          </w:p>
        </w:tc>
      </w:tr>
      <w:tr>
        <w:tc>
          <w:tcPr>
            <w:tcW w:type="dxa" w:w="2304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Guest User Count</w:t>
            </w:r>
          </w:p>
        </w:tc>
        <w:tc>
          <w:tcPr>
            <w:tcW w:type="dxa" w:w="1008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CC0000"/>
                <w:sz w:val="19"/>
              </w:rPr>
              <w:t>FAIL</w:t>
            </w:r>
          </w:p>
        </w:tc>
        <w:tc>
          <w:tcPr>
            <w:tcW w:type="dxa" w:w="2304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222 guest accounts</w:t>
            </w:r>
          </w:p>
        </w:tc>
        <w:tc>
          <w:tcPr>
            <w:tcW w:type="dxa" w:w="360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Review external guest access regularly</w:t>
            </w:r>
          </w:p>
        </w:tc>
      </w:tr>
    </w:tbl>
    <w:p/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4"/>
        <w:gridCol w:w="8976"/>
      </w:tblGrid>
      <w:tr>
        <w:tc>
          <w:tcPr>
            <w:tcW w:type="dxa" w:w="94"/>
            <w:shd w:val="clear" w:color="auto" w:fill="006DB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/>
        </w:tc>
        <w:tc>
          <w:tcPr>
            <w:tcW w:type="dxa" w:w="897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80" w:after="80"/>
            </w:pPr>
            <w:r>
              <w:rPr>
                <w:rFonts w:ascii="Open Sans" w:hAnsi="Open Sans"/>
                <w:b/>
                <w:i w:val="0"/>
                <w:color w:val="006DB6"/>
                <w:sz w:val="28"/>
              </w:rPr>
              <w:t xml:space="preserve">  License Inventory</w:t>
            </w:r>
          </w:p>
        </w:tc>
      </w:tr>
    </w:tbl>
    <w:p>
      <w:pPr>
        <w:spacing w:after="160"/>
      </w:pPr>
      <w:r>
        <w:rPr>
          <w:rFonts w:ascii="Open Sans" w:hAnsi="Open Sans"/>
          <w:b w:val="0"/>
          <w:i w:val="0"/>
          <w:color w:val="59595B"/>
          <w:sz w:val="22"/>
        </w:rPr>
        <w:t>Summary of all Microsoft 365 license subscriptions — purchased seats, assigned seats, and available (unassigned) seats that could be returned or reduced at next renewal.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4032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License / SKU</w:t>
            </w:r>
          </w:p>
        </w:tc>
        <w:tc>
          <w:tcPr>
            <w:tcW w:type="dxa" w:w="1152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Purchased</w:t>
            </w:r>
          </w:p>
        </w:tc>
        <w:tc>
          <w:tcPr>
            <w:tcW w:type="dxa" w:w="1152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Assigned</w:t>
            </w:r>
          </w:p>
        </w:tc>
        <w:tc>
          <w:tcPr>
            <w:tcW w:type="dxa" w:w="864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Free</w:t>
            </w:r>
          </w:p>
        </w:tc>
        <w:tc>
          <w:tcPr>
            <w:tcW w:type="dxa" w:w="2160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Status</w:t>
            </w:r>
          </w:p>
        </w:tc>
      </w:tr>
      <w:tr>
        <w:tc>
          <w:tcPr>
            <w:tcW w:type="dxa" w:w="4032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Microsoft 365 Business Basic</w:t>
            </w:r>
          </w:p>
        </w:tc>
        <w:tc>
          <w:tcPr>
            <w:tcW w:type="dxa" w:w="1152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9</w:t>
            </w:r>
          </w:p>
        </w:tc>
        <w:tc>
          <w:tcPr>
            <w:tcW w:type="dxa" w:w="1152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1</w:t>
            </w:r>
          </w:p>
        </w:tc>
        <w:tc>
          <w:tcPr>
            <w:tcW w:type="dxa" w:w="864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8</w:t>
            </w:r>
          </w:p>
        </w:tc>
        <w:tc>
          <w:tcPr>
            <w:tcW w:type="dxa" w:w="216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UNUSED SEATS</w:t>
            </w:r>
          </w:p>
        </w:tc>
      </w:tr>
      <w:tr>
        <w:tc>
          <w:tcPr>
            <w:tcW w:type="dxa" w:w="4032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Microsoft 365 Business Premium</w:t>
            </w:r>
          </w:p>
        </w:tc>
        <w:tc>
          <w:tcPr>
            <w:tcW w:type="dxa" w:w="1152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11</w:t>
            </w:r>
          </w:p>
        </w:tc>
        <w:tc>
          <w:tcPr>
            <w:tcW w:type="dxa" w:w="1152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11</w:t>
            </w:r>
          </w:p>
        </w:tc>
        <w:tc>
          <w:tcPr>
            <w:tcW w:type="dxa" w:w="864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0</w:t>
            </w:r>
          </w:p>
        </w:tc>
        <w:tc>
          <w:tcPr>
            <w:tcW w:type="dxa" w:w="216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FULLY USED</w:t>
            </w:r>
          </w:p>
        </w:tc>
      </w:tr>
      <w:tr>
        <w:tc>
          <w:tcPr>
            <w:tcW w:type="dxa" w:w="4032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TOTAL</w:t>
            </w:r>
          </w:p>
        </w:tc>
        <w:tc>
          <w:tcPr>
            <w:tcW w:type="dxa" w:w="1152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20</w:t>
            </w:r>
          </w:p>
        </w:tc>
        <w:tc>
          <w:tcPr>
            <w:tcW w:type="dxa" w:w="1152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12</w:t>
            </w:r>
          </w:p>
        </w:tc>
        <w:tc>
          <w:tcPr>
            <w:tcW w:type="dxa" w:w="864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8</w:t>
            </w:r>
          </w:p>
        </w:tc>
        <w:tc>
          <w:tcPr>
            <w:tcW w:type="dxa" w:w="216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8 seats available</w:t>
            </w:r>
          </w:p>
        </w:tc>
      </w:tr>
    </w:tbl>
    <w:p/>
    <w:p>
      <w:pPr>
        <w:spacing w:after="160"/>
      </w:pPr>
      <w:r>
        <w:rPr>
          <w:rFonts w:ascii="Open Sans" w:hAnsi="Open Sans"/>
          <w:b/>
          <w:i w:val="0"/>
          <w:color w:val="1A1A2E"/>
          <w:sz w:val="22"/>
        </w:rPr>
        <w:t>License holders for SKUs with unassigned seats:</w:t>
      </w:r>
    </w:p>
    <w:p>
      <w:pPr>
        <w:spacing w:after="160"/>
      </w:pPr>
      <w:r>
        <w:rPr>
          <w:rFonts w:ascii="Open Sans" w:hAnsi="Open Sans"/>
          <w:b w:val="0"/>
          <w:i w:val="0"/>
          <w:color w:val="59595B"/>
          <w:sz w:val="22"/>
        </w:rPr>
        <w:t>Review each list below. Users who no longer need the license can be unassigned in the Microsoft 365 Admin Center to reduce costs at renewal.</w:t>
      </w:r>
    </w:p>
    <w:p/>
    <w:p>
      <w:pPr>
        <w:spacing w:after="160"/>
      </w:pPr>
      <w:r>
        <w:rPr>
          <w:rFonts w:ascii="Open Sans" w:hAnsi="Open Sans"/>
          <w:b/>
          <w:i w:val="0"/>
          <w:color w:val="006DB6"/>
          <w:sz w:val="22"/>
        </w:rPr>
        <w:t>Microsoft 365 Business Basic  —  1 assigned, 8 of 9 seats available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User Principal Name</w:t>
            </w:r>
          </w:p>
        </w:tc>
      </w:tr>
      <w:tr>
        <w:tc>
          <w:tcPr>
            <w:tcW w:type="dxa" w:w="936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technijian@housingforhealthca.org</w:t>
            </w:r>
          </w:p>
        </w:tc>
      </w:tr>
    </w:tbl>
    <w:p/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4"/>
        <w:gridCol w:w="8976"/>
      </w:tblGrid>
      <w:tr>
        <w:tc>
          <w:tcPr>
            <w:tcW w:type="dxa" w:w="94"/>
            <w:shd w:val="clear" w:color="auto" w:fill="006DB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/>
        </w:tc>
        <w:tc>
          <w:tcPr>
            <w:tcW w:type="dxa" w:w="897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80" w:after="80"/>
            </w:pPr>
            <w:r>
              <w:rPr>
                <w:rFonts w:ascii="Open Sans" w:hAnsi="Open Sans"/>
                <w:b/>
                <w:i w:val="0"/>
                <w:color w:val="006DB6"/>
                <w:sz w:val="28"/>
              </w:rPr>
              <w:t xml:space="preserve">  Storage Posture</w:t>
            </w:r>
          </w:p>
        </w:tc>
      </w:tr>
    </w:tbl>
    <w:p>
      <w:pPr>
        <w:spacing w:after="160"/>
      </w:pPr>
      <w:r>
        <w:rPr>
          <w:rFonts w:ascii="Open Sans" w:hAnsi="Open Sans"/>
          <w:b w:val="0"/>
          <w:i w:val="0"/>
          <w:color w:val="59595B"/>
          <w:sz w:val="22"/>
        </w:rPr>
        <w:t>Microsoft 365 mailbox, OneDrive, and SharePoint storage usage as reported by the M365 reporting service. Resources at 90% or above of quota are critical and may begin to fail.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val="clear" w:color="auto" w:fill="EAF7EE"/>
            <w:tcBorders>
              <w:top w:val="single" w:sz="12" w:color="28A745"/>
              <w:left w:val="single" w:sz="12" w:color="28A745"/>
              <w:bottom w:val="single" w:sz="12" w:color="28A745"/>
              <w:right w:val="single" w:sz="12" w:color="28A745"/>
            </w:tcBorders>
          </w:tcPr>
          <w:p>
            <w:pPr>
              <w:spacing w:before="120" w:after="120"/>
            </w:pPr>
            <w:r>
              <w:rPr>
                <w:rFonts w:ascii="Open Sans" w:hAnsi="Open Sans"/>
                <w:b w:val="0"/>
                <w:i w:val="0"/>
                <w:color w:val="1A1A2E"/>
                <w:sz w:val="22"/>
              </w:rPr>
              <w:t>All mailboxes, OneDrive accounts, and SharePoint sites are below the 75% usage threshold. No action required this period.</w:t>
            </w:r>
          </w:p>
        </w:tc>
      </w:tr>
    </w:tbl>
    <w:p/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4"/>
        <w:gridCol w:w="8976"/>
      </w:tblGrid>
      <w:tr>
        <w:tc>
          <w:tcPr>
            <w:tcW w:type="dxa" w:w="94"/>
            <w:shd w:val="clear" w:color="auto" w:fill="006DB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/>
        </w:tc>
        <w:tc>
          <w:tcPr>
            <w:tcW w:type="dxa" w:w="897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80" w:after="80"/>
            </w:pPr>
            <w:r>
              <w:rPr>
                <w:rFonts w:ascii="Open Sans" w:hAnsi="Open Sans"/>
                <w:b/>
                <w:i w:val="0"/>
                <w:color w:val="006DB6"/>
                <w:sz w:val="28"/>
              </w:rPr>
              <w:t xml:space="preserve">  Sign-in Security</w:t>
            </w:r>
          </w:p>
        </w:tc>
      </w:tr>
    </w:tbl>
    <w:p>
      <w:pPr>
        <w:spacing w:after="160"/>
      </w:pPr>
      <w:r>
        <w:rPr>
          <w:rFonts w:ascii="Open Sans" w:hAnsi="Open Sans"/>
          <w:b w:val="0"/>
          <w:i w:val="0"/>
          <w:color w:val="59595B"/>
          <w:sz w:val="22"/>
        </w:rPr>
        <w:t>During the 30-day window ending 2026-03-31, this tenant logged 2,561 sign-in events with 16 (0.6%) failing authentication. 0 risky sign-in event(s) were flagged by Microsoft Identity Protection.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024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Threat Indicator</w:t>
            </w:r>
          </w:p>
        </w:tc>
        <w:tc>
          <w:tcPr>
            <w:tcW w:type="dxa" w:w="1152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Status</w:t>
            </w:r>
          </w:p>
        </w:tc>
        <w:tc>
          <w:tcPr>
            <w:tcW w:type="dxa" w:w="5184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Detection Rule</w:t>
            </w:r>
          </w:p>
        </w:tc>
      </w:tr>
      <w:tr>
        <w:tc>
          <w:tcPr>
            <w:tcW w:type="dxa" w:w="3024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Brute-force activity</w:t>
            </w:r>
          </w:p>
        </w:tc>
        <w:tc>
          <w:tcPr>
            <w:tcW w:type="dxa" w:w="1152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28A745"/>
                <w:sz w:val="19"/>
              </w:rPr>
              <w:t>PASS</w:t>
            </w:r>
          </w:p>
        </w:tc>
        <w:tc>
          <w:tcPr>
            <w:tcW w:type="dxa" w:w="5184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10+ failures against a single user in the window</w:t>
            </w:r>
          </w:p>
        </w:tc>
      </w:tr>
      <w:tr>
        <w:tc>
          <w:tcPr>
            <w:tcW w:type="dxa" w:w="3024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Password spray</w:t>
            </w:r>
          </w:p>
        </w:tc>
        <w:tc>
          <w:tcPr>
            <w:tcW w:type="dxa" w:w="1152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28A745"/>
                <w:sz w:val="19"/>
              </w:rPr>
              <w:t>PASS</w:t>
            </w:r>
          </w:p>
        </w:tc>
        <w:tc>
          <w:tcPr>
            <w:tcW w:type="dxa" w:w="5184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5+ users targeted from a single IP</w:t>
            </w:r>
          </w:p>
        </w:tc>
      </w:tr>
      <w:tr>
        <w:tc>
          <w:tcPr>
            <w:tcW w:type="dxa" w:w="3024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Successful foreign sign-in</w:t>
            </w:r>
          </w:p>
        </w:tc>
        <w:tc>
          <w:tcPr>
            <w:tcW w:type="dxa" w:w="1152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28A745"/>
                <w:sz w:val="19"/>
              </w:rPr>
              <w:t>PASS</w:t>
            </w:r>
          </w:p>
        </w:tc>
        <w:tc>
          <w:tcPr>
            <w:tcW w:type="dxa" w:w="5184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Successful login from outside the United States</w:t>
            </w:r>
          </w:p>
        </w:tc>
      </w:tr>
      <w:tr>
        <w:tc>
          <w:tcPr>
            <w:tcW w:type="dxa" w:w="3024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Legacy authentication</w:t>
            </w:r>
          </w:p>
        </w:tc>
        <w:tc>
          <w:tcPr>
            <w:tcW w:type="dxa" w:w="1152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28A745"/>
                <w:sz w:val="19"/>
              </w:rPr>
              <w:t>PASS</w:t>
            </w:r>
          </w:p>
        </w:tc>
        <w:tc>
          <w:tcPr>
            <w:tcW w:type="dxa" w:w="5184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Bypasses MFA — should be blocked via Conditional Access</w:t>
            </w:r>
          </w:p>
        </w:tc>
      </w:tr>
      <w:tr>
        <w:tc>
          <w:tcPr>
            <w:tcW w:type="dxa" w:w="3024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High MFA failure rate</w:t>
            </w:r>
          </w:p>
        </w:tc>
        <w:tc>
          <w:tcPr>
            <w:tcW w:type="dxa" w:w="1152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28A745"/>
                <w:sz w:val="19"/>
              </w:rPr>
              <w:t>PASS</w:t>
            </w:r>
          </w:p>
        </w:tc>
        <w:tc>
          <w:tcPr>
            <w:tcW w:type="dxa" w:w="5184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5+ MFA failures observed (potential MFA fatigue attack)</w:t>
            </w:r>
          </w:p>
        </w:tc>
      </w:tr>
    </w:tbl>
    <w:p/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4"/>
        <w:gridCol w:w="8976"/>
      </w:tblGrid>
      <w:tr>
        <w:tc>
          <w:tcPr>
            <w:tcW w:type="dxa" w:w="94"/>
            <w:shd w:val="clear" w:color="auto" w:fill="006DB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/>
        </w:tc>
        <w:tc>
          <w:tcPr>
            <w:tcW w:type="dxa" w:w="897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80" w:after="80"/>
            </w:pPr>
            <w:r>
              <w:rPr>
                <w:rFonts w:ascii="Open Sans" w:hAnsi="Open Sans"/>
                <w:b/>
                <w:i w:val="0"/>
                <w:color w:val="006DB6"/>
                <w:sz w:val="28"/>
              </w:rPr>
              <w:t xml:space="preserve">  Findings &amp; Recommendations</w:t>
            </w:r>
          </w:p>
        </w:tc>
      </w:tr>
    </w:tbl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1008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Priority</w:t>
            </w:r>
          </w:p>
        </w:tc>
        <w:tc>
          <w:tcPr>
            <w:tcW w:type="dxa" w:w="2880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Finding</w:t>
            </w:r>
          </w:p>
        </w:tc>
        <w:tc>
          <w:tcPr>
            <w:tcW w:type="dxa" w:w="5472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Recommended Action</w:t>
            </w:r>
          </w:p>
        </w:tc>
      </w:tr>
      <w:tr>
        <w:tc>
          <w:tcPr>
            <w:tcW w:type="dxa" w:w="1008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P1</w:t>
            </w:r>
          </w:p>
        </w:tc>
        <w:tc>
          <w:tcPr>
            <w:tcW w:type="dxa" w:w="288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Legacy auth not blocked</w:t>
            </w:r>
          </w:p>
        </w:tc>
        <w:tc>
          <w:tcPr>
            <w:tcW w:type="dxa" w:w="5472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Add Conditional Access policy 'Block Legacy Authentication' (targets all users, all cloud apps, client apps = legacy). This bypasses MFA and is the #1 path for credential compromise.</w:t>
            </w:r>
          </w:p>
        </w:tc>
      </w:tr>
      <w:tr>
        <w:tc>
          <w:tcPr>
            <w:tcW w:type="dxa" w:w="1008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P2</w:t>
            </w:r>
          </w:p>
        </w:tc>
        <w:tc>
          <w:tcPr>
            <w:tcW w:type="dxa" w:w="288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MFA registration low at 7.5% (18/239 users)</w:t>
            </w:r>
          </w:p>
        </w:tc>
        <w:tc>
          <w:tcPr>
            <w:tcW w:type="dxa" w:w="5472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Run an enrollment campaign — every user must register MFA. Plan: registration policy + email + 30-day grace + force at login.</w:t>
            </w:r>
          </w:p>
        </w:tc>
      </w:tr>
      <w:tr>
        <w:tc>
          <w:tcPr>
            <w:tcW w:type="dxa" w:w="1008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P3</w:t>
            </w:r>
          </w:p>
        </w:tc>
        <w:tc>
          <w:tcPr>
            <w:tcW w:type="dxa" w:w="288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222 guest accounts guest accounts</w:t>
            </w:r>
          </w:p>
        </w:tc>
        <w:tc>
          <w:tcPr>
            <w:tcW w:type="dxa" w:w="5472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Audit external collaboration. Remove inactive guests, enable guest access reviews, restrict guest invite to specific users.</w:t>
            </w:r>
          </w:p>
        </w:tc>
      </w:tr>
    </w:tbl>
    <w:p/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4"/>
        <w:gridCol w:w="8976"/>
      </w:tblGrid>
      <w:tr>
        <w:tc>
          <w:tcPr>
            <w:tcW w:type="dxa" w:w="94"/>
            <w:shd w:val="clear" w:color="auto" w:fill="006DB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/>
        </w:tc>
        <w:tc>
          <w:tcPr>
            <w:tcW w:type="dxa" w:w="897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80" w:after="80"/>
            </w:pPr>
            <w:r>
              <w:rPr>
                <w:rFonts w:ascii="Open Sans" w:hAnsi="Open Sans"/>
                <w:b/>
                <w:i w:val="0"/>
                <w:color w:val="006DB6"/>
                <w:sz w:val="28"/>
              </w:rPr>
              <w:t xml:space="preserve">  About This Report</w:t>
            </w:r>
          </w:p>
        </w:tc>
      </w:tr>
    </w:tbl>
    <w:p>
      <w:pPr>
        <w:spacing w:after="160"/>
      </w:pPr>
      <w:r>
        <w:rPr>
          <w:rFonts w:ascii="Open Sans" w:hAnsi="Open Sans"/>
          <w:b w:val="0"/>
          <w:i w:val="0"/>
          <w:color w:val="59595B"/>
          <w:sz w:val="22"/>
        </w:rPr>
        <w:t>This report is automatically generated each month from Microsoft Graph API data captured via Technijian's Cloud Solution Provider and GDAP (Granular Delegated Admin Privileges) partner relationships.</w:t>
      </w:r>
    </w:p>
    <w:p>
      <w:pPr>
        <w:spacing w:after="160"/>
      </w:pPr>
      <w:r>
        <w:rPr>
          <w:rFonts w:ascii="Open Sans" w:hAnsi="Open Sans"/>
          <w:b/>
          <w:i w:val="0"/>
          <w:color w:val="1A1A2E"/>
          <w:sz w:val="22"/>
        </w:rPr>
        <w:t>Data sources &amp; cadences:</w:t>
      </w:r>
    </w:p>
    <w:p>
      <w:pPr>
        <w:pStyle w:val="ListBullet"/>
        <w:spacing w:after="80"/>
      </w:pPr>
      <w:r>
        <w:rPr>
          <w:rFonts w:ascii="Open Sans" w:hAnsi="Open Sans"/>
          <w:b/>
          <w:i w:val="0"/>
          <w:color w:val="1A1A2E"/>
          <w:sz w:val="22"/>
        </w:rPr>
        <w:t xml:space="preserve">Security pull: </w:t>
      </w:r>
      <w:r>
        <w:rPr>
          <w:rFonts w:ascii="Open Sans" w:hAnsi="Open Sans"/>
          <w:b w:val="0"/>
          <w:i w:val="0"/>
          <w:color w:val="59595B"/>
          <w:sz w:val="22"/>
        </w:rPr>
        <w:t>Daily 06:00 PT — sign-in audit logs (last 24h)</w:t>
      </w:r>
    </w:p>
    <w:p>
      <w:pPr>
        <w:pStyle w:val="ListBullet"/>
        <w:spacing w:after="80"/>
      </w:pPr>
      <w:r>
        <w:rPr>
          <w:rFonts w:ascii="Open Sans" w:hAnsi="Open Sans"/>
          <w:b/>
          <w:i w:val="0"/>
          <w:color w:val="1A1A2E"/>
          <w:sz w:val="22"/>
        </w:rPr>
        <w:t xml:space="preserve">Compliance pull: </w:t>
      </w:r>
      <w:r>
        <w:rPr>
          <w:rFonts w:ascii="Open Sans" w:hAnsi="Open Sans"/>
          <w:b w:val="0"/>
          <w:i w:val="0"/>
          <w:color w:val="59595B"/>
          <w:sz w:val="22"/>
        </w:rPr>
        <w:t>Weekly Mon 07:00 PT — MFA, Conditional Access, admin roles, secure score</w:t>
      </w:r>
    </w:p>
    <w:p>
      <w:pPr>
        <w:pStyle w:val="ListBullet"/>
        <w:spacing w:after="80"/>
      </w:pPr>
      <w:r>
        <w:rPr>
          <w:rFonts w:ascii="Open Sans" w:hAnsi="Open Sans"/>
          <w:b/>
          <w:i w:val="0"/>
          <w:color w:val="1A1A2E"/>
          <w:sz w:val="22"/>
        </w:rPr>
        <w:t xml:space="preserve">Storage pull: </w:t>
      </w:r>
      <w:r>
        <w:rPr>
          <w:rFonts w:ascii="Open Sans" w:hAnsi="Open Sans"/>
          <w:b w:val="0"/>
          <w:i w:val="0"/>
          <w:color w:val="59595B"/>
          <w:sz w:val="22"/>
        </w:rPr>
        <w:t>Weekly Mon 07:00 PT — mailbox, OneDrive, SharePoint usage (D7)</w:t>
      </w:r>
    </w:p>
    <w:p>
      <w:pPr>
        <w:pStyle w:val="ListBullet"/>
        <w:spacing w:after="80"/>
      </w:pPr>
      <w:r>
        <w:rPr>
          <w:rFonts w:ascii="Open Sans" w:hAnsi="Open Sans"/>
          <w:b/>
          <w:i w:val="0"/>
          <w:color w:val="1A1A2E"/>
          <w:sz w:val="22"/>
        </w:rPr>
        <w:t xml:space="preserve">Trend pull: </w:t>
      </w:r>
      <w:r>
        <w:rPr>
          <w:rFonts w:ascii="Open Sans" w:hAnsi="Open Sans"/>
          <w:b w:val="0"/>
          <w:i w:val="0"/>
          <w:color w:val="59595B"/>
          <w:sz w:val="22"/>
        </w:rPr>
        <w:t>Monthly 1st 07:30 PT — D180 storage trend</w:t>
      </w:r>
    </w:p>
    <w:p>
      <w:pPr>
        <w:spacing w:after="160"/>
      </w:pPr>
      <w:r>
        <w:rPr>
          <w:rFonts w:ascii="Open Sans" w:hAnsi="Open Sans"/>
          <w:b/>
          <w:i w:val="0"/>
          <w:color w:val="1A1A2E"/>
          <w:sz w:val="22"/>
        </w:rPr>
        <w:t>Definitions:</w:t>
      </w:r>
    </w:p>
    <w:p>
      <w:pPr>
        <w:pStyle w:val="ListBullet"/>
        <w:spacing w:after="80"/>
      </w:pPr>
      <w:r>
        <w:rPr>
          <w:rFonts w:ascii="Open Sans" w:hAnsi="Open Sans"/>
          <w:b/>
          <w:i w:val="0"/>
          <w:color w:val="1A1A2E"/>
          <w:sz w:val="22"/>
        </w:rPr>
        <w:t xml:space="preserve">Failed sign-in: </w:t>
      </w:r>
      <w:r>
        <w:rPr>
          <w:rFonts w:ascii="Open Sans" w:hAnsi="Open Sans"/>
          <w:b w:val="0"/>
          <w:i w:val="0"/>
          <w:color w:val="59595B"/>
          <w:sz w:val="22"/>
        </w:rPr>
        <w:t>Authentication failure where status.errorCode != 0 (wrong password, MFA fail, blocked, etc).</w:t>
      </w:r>
    </w:p>
    <w:p>
      <w:pPr>
        <w:pStyle w:val="ListBullet"/>
        <w:spacing w:after="80"/>
      </w:pPr>
      <w:r>
        <w:rPr>
          <w:rFonts w:ascii="Open Sans" w:hAnsi="Open Sans"/>
          <w:b/>
          <w:i w:val="0"/>
          <w:color w:val="1A1A2E"/>
          <w:sz w:val="22"/>
        </w:rPr>
        <w:t xml:space="preserve">Brute-force flag: </w:t>
      </w:r>
      <w:r>
        <w:rPr>
          <w:rFonts w:ascii="Open Sans" w:hAnsi="Open Sans"/>
          <w:b w:val="0"/>
          <w:i w:val="0"/>
          <w:color w:val="59595B"/>
          <w:sz w:val="22"/>
        </w:rPr>
        <w:t>10 or more failed sign-ins against a single user account within the window.</w:t>
      </w:r>
    </w:p>
    <w:p>
      <w:pPr>
        <w:pStyle w:val="ListBullet"/>
        <w:spacing w:after="80"/>
      </w:pPr>
      <w:r>
        <w:rPr>
          <w:rFonts w:ascii="Open Sans" w:hAnsi="Open Sans"/>
          <w:b/>
          <w:i w:val="0"/>
          <w:color w:val="1A1A2E"/>
          <w:sz w:val="22"/>
        </w:rPr>
        <w:t xml:space="preserve">Password spray flag: </w:t>
      </w:r>
      <w:r>
        <w:rPr>
          <w:rFonts w:ascii="Open Sans" w:hAnsi="Open Sans"/>
          <w:b w:val="0"/>
          <w:i w:val="0"/>
          <w:color w:val="59595B"/>
          <w:sz w:val="22"/>
        </w:rPr>
        <w:t>5 or more distinct users targeted from a single source IP.</w:t>
      </w:r>
    </w:p>
    <w:p>
      <w:pPr>
        <w:pStyle w:val="ListBullet"/>
        <w:spacing w:after="80"/>
      </w:pPr>
      <w:r>
        <w:rPr>
          <w:rFonts w:ascii="Open Sans" w:hAnsi="Open Sans"/>
          <w:b/>
          <w:i w:val="0"/>
          <w:color w:val="1A1A2E"/>
          <w:sz w:val="22"/>
        </w:rPr>
        <w:t xml:space="preserve">Foreign success flag: </w:t>
      </w:r>
      <w:r>
        <w:rPr>
          <w:rFonts w:ascii="Open Sans" w:hAnsi="Open Sans"/>
          <w:b w:val="0"/>
          <w:i w:val="0"/>
          <w:color w:val="59595B"/>
          <w:sz w:val="22"/>
        </w:rPr>
        <w:t>Authenticated sign-in originating from outside the United States.</w:t>
      </w:r>
    </w:p>
    <w:p>
      <w:pPr>
        <w:pStyle w:val="ListBullet"/>
        <w:spacing w:after="80"/>
      </w:pPr>
      <w:r>
        <w:rPr>
          <w:rFonts w:ascii="Open Sans" w:hAnsi="Open Sans"/>
          <w:b/>
          <w:i w:val="0"/>
          <w:color w:val="1A1A2E"/>
          <w:sz w:val="22"/>
        </w:rPr>
        <w:t xml:space="preserve">Legacy auth flag: </w:t>
      </w:r>
      <w:r>
        <w:rPr>
          <w:rFonts w:ascii="Open Sans" w:hAnsi="Open Sans"/>
          <w:b w:val="0"/>
          <w:i w:val="0"/>
          <w:color w:val="59595B"/>
          <w:sz w:val="22"/>
        </w:rPr>
        <w:t>Connection via Exchange ActiveSync, IMAP, POP3, SMTP — bypasses MFA.</w:t>
      </w:r>
    </w:p>
    <w:p>
      <w:pPr>
        <w:pStyle w:val="ListBullet"/>
        <w:spacing w:after="80"/>
      </w:pPr>
      <w:r>
        <w:rPr>
          <w:rFonts w:ascii="Open Sans" w:hAnsi="Open Sans"/>
          <w:b/>
          <w:i w:val="0"/>
          <w:color w:val="1A1A2E"/>
          <w:sz w:val="22"/>
        </w:rPr>
        <w:t xml:space="preserve">Risky sign-in: </w:t>
      </w:r>
      <w:r>
        <w:rPr>
          <w:rFonts w:ascii="Open Sans" w:hAnsi="Open Sans"/>
          <w:b w:val="0"/>
          <w:i w:val="0"/>
          <w:color w:val="59595B"/>
          <w:sz w:val="22"/>
        </w:rPr>
        <w:t>Risky sign-in flagged by Microsoft Identity Protection (Azure AD Premium P2 only).</w:t>
      </w:r>
    </w:p>
    <w:p>
      <w:pPr>
        <w:spacing w:after="160"/>
      </w:pPr>
      <w:r>
        <w:rPr>
          <w:rFonts w:ascii="Open Sans" w:hAnsi="Open Sans"/>
          <w:b w:val="0"/>
          <w:i w:val="0"/>
          <w:color w:val="59595B"/>
          <w:sz w:val="18"/>
        </w:rPr>
        <w:t>Tenant: Housing For Health OC Inc (d57b79ab-c770-4c4a-9b2d-36c90c710b6d)</w:t>
      </w:r>
    </w:p>
    <w:p>
      <w:pPr>
        <w:spacing w:after="160"/>
      </w:pPr>
      <w:r>
        <w:rPr>
          <w:rFonts w:ascii="Open Sans" w:hAnsi="Open Sans"/>
          <w:b w:val="0"/>
          <w:i w:val="0"/>
          <w:color w:val="59595B"/>
          <w:sz w:val="18"/>
        </w:rPr>
        <w:t>Notes: GDAP expires 2026-09-23</w:t>
      </w:r>
    </w:p>
    <w:p>
      <w:pPr>
        <w:spacing w:after="160"/>
      </w:pPr>
      <w:r>
        <w:rPr>
          <w:rFonts w:ascii="Open Sans" w:hAnsi="Open Sans"/>
          <w:b w:val="0"/>
          <w:i w:val="0"/>
          <w:color w:val="59595B"/>
          <w:sz w:val="22"/>
        </w:rPr>
        <w:t>Questions about this report? Email support@technijian.com.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296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Open Sans" w:hAnsi="Open Sans"/>
        <w:b w:val="0"/>
        <w:i w:val="0"/>
        <w:color w:val="59595B"/>
        <w:sz w:val="18"/>
      </w:rPr>
      <w:t>Technijian  |  18 Technology Dr., Ste 141, Irvine, CA 92618  |  949.379.8500  |  technijian.com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drawing>
        <wp:inline xmlns:a="http://schemas.openxmlformats.org/drawingml/2006/main" xmlns:pic="http://schemas.openxmlformats.org/drawingml/2006/picture">
          <wp:extent cx="1554480" cy="323850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technijian-logo-full-color-600x125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554480" cy="323850"/>
                  </a:xfrm>
                  <a:prstGeom prst="rect"/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Open Sans" w:hAnsi="Open Sans"/>
      <w:color w:val="59595B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