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ICM Lending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54.5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Critical — archiving is failing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59.6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ICM Lending as of 2026-05-02. The archive holds 681,731 messages across 4 mailboxes and consumes 54.5 GB of storage. Sections that follow detail the mailboxes under archive, current and per-store storage usage, trailing-30-day archive job health, and storage growth projections at 3, 6, 9, and 12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C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ATTENTION: archive job runs for the following instance(s) are failing in the trailing 30 days — icmlending, icm-realestate. New email is not being added to the archive on the affected instance(s). See the Archive Health table below for details. Recommend opening a Technijian support ticket to restore the failing archive profile(s).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2015-07-01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681,731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icmlending — 2 mailbox(es), 52.1 GB total ≈ 26.1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diane_icmlend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 Terry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diane@icmlending.com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jack_icmlend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lydia@icmlending.com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icm-realestate — 2 mailbox(es), 2.4 GB total ≈ 1.2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Wlodkowshi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jack@icm-realestate.com, jack3669@icmlending.onmicrosoft.com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jack@icmlending.onmicrosoft.com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410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53.3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55.7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56.9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0 MB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icmlending — 713 of 713 runs in the last 30 days failed and no new messages were captured. Recheck source-mailbox credentials, network reachability, and Microsoft 365 throttling.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icm-realestate — 8657 of 8657 runs in the last 30 days failed and no new messages were captured. Recheck source-mailbox credentials, network reachability, and Microsoft 365 throttling.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