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M365 Activity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Hotel Normandie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Reporting period: 2026-02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addressee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summarizes Microsoft 365 security, compliance, and storage posture for Hotel Normandie for the month ending 2026-02. It is generated from Microsoft Graph API data captured via Technijian's GDAP partner relationship and Cloud Solution Provider access.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N/A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Compliance Posture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Sign-in Events (30d)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59595B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Failed Sign-ins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Clean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Threat Flags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3EE"/>
            <w:tcBorders>
              <w:top w:val="single" w:sz="12" w:color="F67D4B"/>
              <w:left w:val="single" w:sz="12" w:color="F67D4B"/>
              <w:bottom w:val="single" w:sz="12" w:color="F67D4B"/>
              <w:right w:val="single" w:sz="12" w:color="F67D4B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No critical findings this period.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Identity &amp; Access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compliance data was available for this tenant during this reporting period. See the About This Report section for context.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License Inventory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license subscription data was available for this tenant during this reporting period.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Storage Posture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Microsoft 365 mailbox, OneDrive, and SharePoint storage usage as reported by the M365 reporting service. Resources at 90% or above of quota are critical and may begin to fail.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mailboxes, OneDrive accounts, and SharePoint sites are below the 75% usage threshold. No action required this period.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Sign-in Security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detailed sign-in audit log data was available for this tenant. This typically indicates the tenant lacks an Azure AD Premium P1 or P2 license, which is required for the sign-in audit log API endpoint. The compliance posture section above still reflects the available identity data.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Findings &amp; Recommendations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No actionable findings this period. Continue monitoring per the established cadence.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automatically generated each month from Microsoft Graph API data captured via Technijian's Cloud Solution Provider and GDAP (Granular Delegated Admin Privileges) partner relationships.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Data sources &amp; cadences: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Security pull: </w:t>
      </w:r>
      <w:r>
        <w:rPr>
          <w:rFonts w:ascii="Open Sans" w:hAnsi="Open Sans"/>
          <w:b w:val="0"/>
          <w:i w:val="0"/>
          <w:color w:val="59595B"/>
          <w:sz w:val="22"/>
        </w:rPr>
        <w:t>Daily 06:00 PT — sign-in audit logs (last 24h)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Compliance pull: </w:t>
      </w:r>
      <w:r>
        <w:rPr>
          <w:rFonts w:ascii="Open Sans" w:hAnsi="Open Sans"/>
          <w:b w:val="0"/>
          <w:i w:val="0"/>
          <w:color w:val="59595B"/>
          <w:sz w:val="22"/>
        </w:rPr>
        <w:t>Weekly Mon 07:00 PT — MFA, Conditional Access, admin roles, secure score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Storage pull: </w:t>
      </w:r>
      <w:r>
        <w:rPr>
          <w:rFonts w:ascii="Open Sans" w:hAnsi="Open Sans"/>
          <w:b w:val="0"/>
          <w:i w:val="0"/>
          <w:color w:val="59595B"/>
          <w:sz w:val="22"/>
        </w:rPr>
        <w:t>Weekly Mon 07:00 PT — mailbox, OneDrive, SharePoint usage (D7)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Trend pull: </w:t>
      </w:r>
      <w:r>
        <w:rPr>
          <w:rFonts w:ascii="Open Sans" w:hAnsi="Open Sans"/>
          <w:b w:val="0"/>
          <w:i w:val="0"/>
          <w:color w:val="59595B"/>
          <w:sz w:val="22"/>
        </w:rPr>
        <w:t>Monthly 1st 07:30 PT — D180 storage trend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Definitions: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Failed sign-in: </w:t>
      </w:r>
      <w:r>
        <w:rPr>
          <w:rFonts w:ascii="Open Sans" w:hAnsi="Open Sans"/>
          <w:b w:val="0"/>
          <w:i w:val="0"/>
          <w:color w:val="59595B"/>
          <w:sz w:val="22"/>
        </w:rPr>
        <w:t>Authentication failure where status.errorCode != 0 (wrong password, MFA fail, blocked, etc).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Brute-force flag: </w:t>
      </w:r>
      <w:r>
        <w:rPr>
          <w:rFonts w:ascii="Open Sans" w:hAnsi="Open Sans"/>
          <w:b w:val="0"/>
          <w:i w:val="0"/>
          <w:color w:val="59595B"/>
          <w:sz w:val="22"/>
        </w:rPr>
        <w:t>10 or more failed sign-ins against a single user account within the window.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Password spray flag: </w:t>
      </w:r>
      <w:r>
        <w:rPr>
          <w:rFonts w:ascii="Open Sans" w:hAnsi="Open Sans"/>
          <w:b w:val="0"/>
          <w:i w:val="0"/>
          <w:color w:val="59595B"/>
          <w:sz w:val="22"/>
        </w:rPr>
        <w:t>5 or more distinct users targeted from a single source IP.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Foreign success flag: </w:t>
      </w:r>
      <w:r>
        <w:rPr>
          <w:rFonts w:ascii="Open Sans" w:hAnsi="Open Sans"/>
          <w:b w:val="0"/>
          <w:i w:val="0"/>
          <w:color w:val="59595B"/>
          <w:sz w:val="22"/>
        </w:rPr>
        <w:t>Authenticated sign-in originating from outside the United States.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Legacy auth flag: </w:t>
      </w:r>
      <w:r>
        <w:rPr>
          <w:rFonts w:ascii="Open Sans" w:hAnsi="Open Sans"/>
          <w:b w:val="0"/>
          <w:i w:val="0"/>
          <w:color w:val="59595B"/>
          <w:sz w:val="22"/>
        </w:rPr>
        <w:t>Connection via Exchange ActiveSync, IMAP, POP3, SMTP — bypasses MFA.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Risky sign-in: </w:t>
      </w:r>
      <w:r>
        <w:rPr>
          <w:rFonts w:ascii="Open Sans" w:hAnsi="Open Sans"/>
          <w:b w:val="0"/>
          <w:i w:val="0"/>
          <w:color w:val="59595B"/>
          <w:sz w:val="22"/>
        </w:rPr>
        <w:t>Risky sign-in flagged by Microsoft Identity Protection (Azure AD Premium P2 only).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8"/>
        </w:rPr>
        <w:t>Tenant: Hotel Normandie (61d9b3ff-5962-4628-b32f-d840822545ce)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8"/>
        </w:rPr>
        <w:t>Notes: GDAP expires 2026-09-01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Questions about this report?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