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Orthoxpress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Orthoxpress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24,625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2,700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4 threats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Active brute-force or password-spray attempt(s) detected against user accounts.  2 risky sign-in event(s) currently at-risk and not remediated.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24,625 sign-in events with 2,700 (11.0%) failing authentication. 8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Top brute-force targets: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Failed Attempts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vestrada@orthoxpress.com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507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jsalamon@orthoxpress.com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494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rbrown@orthoxpress.com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bmccall@orthoxpress.com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mgardner@orthoxpress.com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accounting@orthoxpress.com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ssalamon@orthoxpress.com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119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sbelle@orthoxpress.com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dwhite@orthoxpress.com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bvarner@orthoxpress.com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Password-spray source IPs: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 IP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Users Targeted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12.79.8.230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107.128.45.252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2 risky sign-in event(s) currently at-risk (not remediated or dismissed):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Address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Location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chopkins@orthoxpress.com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182.72.80.174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Panchkula, IN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2026-04-30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MCerda@orthoxpress.com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Austin, US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Active brute-force attempts in progress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Targeted accounts: vestrada@orthoxpress.com, jsalamon@orthoxpress.com, rbrown@orthoxpress.com. Verify MFA enforcement, consider tenant-level CA block on attacker IPs (see Sign-in Security section).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Password-spray attack detected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 single IP attempted credential stuffing across multiple users. Add the source IP(s) to a Conditional Access deny list.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unresolved risky sign-in(s) flagged by Identity Protection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Affected users: MCerda@orthoxpress.com, chopkins@orthoxpress.com. Verify each was the user; if compromised, force password reset, revoke sessions, investigate.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sign-in from non-US country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Confirm with each affected user. If not authorized, force password reset, revoke active sessions, and review what was accessed.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client connections observed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Some clients are still authenticating via SMTP/IMAP/POP3/EAS without modern auth. Identify devices and migrate to modern protocols.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Orthoxpress (9f0d3ee8-4412-48da-9b80-69badb68b429)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