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Orthoxpress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2026-04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Orthoxpress for the month ending 2026-04.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FAIL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24,625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2,700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  2 risky sign-in event(s) currently at-risk and not remediated.  3 compliance check(s) failing — see Identity &amp; Access section.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Graph reports the following identity, access, and compliance posture against Technijian's baseline. Items flagged as Fail or Warn are summarized in the Findings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Best Practice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40.3% (151/375 users)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100% of users registered for MFA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Conditional Access Policies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enabled policies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Minimum: block legacy auth + require MFA for admins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 Blocked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blocked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bypasses MFA — must be blocked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Global Administrator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Global Admins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Best practice: 2-3 Global Admins maximum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Secure Score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97.61/283.0 (34.5%)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&gt;60% of available score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Guest User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 guest accounts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external guest access regularly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Summary of all Microsoft 365 license subscriptions — purchased seats, assigned seats, and available (unassigned) seats that could be returned or reduced at next renewal.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License / SKU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Purchased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Assigned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Azure AD Premium P1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Microsoft_Teams_Audio_Conferencing_select_dial_out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Basic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79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Standard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67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PBI_PREMIUM_PER_USER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Power BI Pro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Visio Plan 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 Store for Business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169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seats available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License holders for SKUs with unassigned seats: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Review each list below. Users who no longer need the license can be unassigned in the Microsoft 365 Admin Center to reduce costs at renewal.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Microsoft_Teams_Audio_Conferencing_select_dial_out  —  0 assigned, 1 of 1 seats available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users currently assigned to this SKU (consumed count may reflect service accounts).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Microsoft 365 Business Standard  —  67 assigned, 2 of 69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AMedina@orthoxpress.com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Booking@falconerofredlands.com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CShorty@orthoxpress.com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Chall@orthoxpress.com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DBowe@orthoxpress.com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GGonzalez@orthoxpress.com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GMaestre@orthoxpress.com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JKolb@orthoxpress.com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JRodriguez@orthoxpress.com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JWorkman@orthoxpress.com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KJohnson@orthoxpress.com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LDelafuente@orthoxpress.com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MRyan@orthoxpress.com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NFigueroa@orthoxpress.com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RBrekke@orthoxpress.com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SScholl@orthoxpress.com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acastillejo@orthoxpress.com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admin@ORX365.onmicrosoft.com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amartinez@orthoxpress.com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aviola@orthoxpress.com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bnavarro@orthoxpress.com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cwilliams@orthoxpress.com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dayala@orthoxpress.com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dlinares@orthoxpress.com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dnguyen@orthoxpress.com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dsanchez@orthoxpress.com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jantonio@orthoxpress.com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jhernandez@orthoxpress.com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jmitchell@orthoxpress.com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jquintana@orthoxpress.com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krodgers@tartanofredlands.com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lbarnes@orthoxpress.com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lherrera@orthoxpress.com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lsirota@orthoxpress.com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madams@orthoxpress.com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mbudnik@orthoxpress.com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mcastillon@orthoxpress.com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mdixon@orthoxpress.com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mgalfayan@orthoxpress.com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mmartinez@orthoxpress.com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mrivera@orthoxpress.com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mwells@orthoxpress.com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ncollins@orthoxpress.com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nflores@orthoxpress.com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pjimenez@orthoxpress.com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24,625 sign-in events with 2,700 (11.0%) failing authentication. 8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mgardner@orthoxpress.com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accounting@orthoxpress.com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sbelle@orthoxpress.com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12.79.8.230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107.128.45.252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2 risky sign-in event(s) currently at-risk (not remediated or dismissed):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Address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chopkins@orthoxpress.com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Panchkula, IN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MCerda@orthoxpress.com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Austin, US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not blocked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 Conditional Access policy 'Block Legacy Authentication' (targets all users, all cloud apps, client apps = legacy). This bypasses MFA and is the #1 path for credential compromise.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vestrada@orthoxpress.com, jsalamon@orthoxpress.com, rbrown@orthoxpress.com.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 unresolved risky sign-in(s) flagged by Identity Protection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Affected users: MCerda@orthoxpress.com, chopkins@orthoxpress.com. Verify each was the user; if compromised, force password reset, revoke sessions, investigate.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 low at 40.3% (151/375 users)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 an enrollment campaign — every user must register MFA. Plan: registration policy + email + 30-day grace + force at login.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Secure Score 97.61/283.0 (34.5%)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the Microsoft Secure Score dashboard for tenant-specific improvement actions ranked by impact and effort.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Orthoxpress (9f0d3ee8-4412-48da-9b80-69badb68b429)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