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CrowdStrike Security Activity Report</w:t>
      </w:r>
    </w:p>
    <w:p>
      <w:pPr>
        <w:spacing w:after="120"/>
        <w:jc w:val="center"/>
      </w:pPr>
      <w:r>
        <w:rPr>
          <w:rFonts w:ascii="Open Sans" w:hAnsi="Open Sans"/>
          <w:b w:val="0"/>
          <w:i w:val="0"/>
          <w:color w:val="59595B"/>
          <w:sz w:val="32"/>
        </w:rPr>
        <w:t>Strategic Air Services</w:t>
      </w:r>
    </w:p>
    <w:p>
      <w:pPr>
        <w:jc w:val="center"/>
      </w:pPr>
      <w:r>
        <w:rPr>
          <w:rFonts w:ascii="Open Sans" w:hAnsi="Open Sans"/>
          <w:b w:val="0"/>
          <w:i w:val="0"/>
          <w:color w:val="59595B"/>
          <w:sz w:val="24"/>
        </w:rPr>
        <w:t>March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Strategic Air Services during March 2026. The CrowdStrike Falcon endpoint detection and response (EDR) platform protected your environment and Technijian's security operations team reviewed every alert. Below is a plain-English summary of what was detected,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21</w:t>
            </w:r>
          </w:p>
          <w:p>
            <w:pPr>
              <w:spacing w:before="0" w:after="240"/>
              <w:jc w:val="center"/>
            </w:pPr>
            <w:r>
              <w:rPr>
                <w:rFonts w:ascii="Open Sans" w:hAnsi="Open Sans"/>
                <w:b w:val="0"/>
                <w:i w:val="0"/>
                <w:color w:val="59595B"/>
                <w:sz w:val="20"/>
              </w:rPr>
              <w:t>Total Alerts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8</w:t>
            </w:r>
          </w:p>
          <w:p>
            <w:pPr>
              <w:spacing w:before="0" w:after="240"/>
              <w:jc w:val="center"/>
            </w:pPr>
            <w:r>
              <w:rPr>
                <w:rFonts w:ascii="Open Sans" w:hAnsi="Open Sans"/>
                <w:b w:val="0"/>
                <w:i w:val="0"/>
                <w:color w:val="59595B"/>
                <w:sz w:val="20"/>
              </w:rPr>
              <w:t>Critical / High</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4</w:t>
            </w:r>
          </w:p>
          <w:p>
            <w:pPr>
              <w:spacing w:before="0" w:after="240"/>
              <w:jc w:val="center"/>
            </w:pPr>
            <w:r>
              <w:rPr>
                <w:rFonts w:ascii="Open Sans" w:hAnsi="Open Sans"/>
                <w:b w:val="0"/>
                <w:i w:val="0"/>
                <w:color w:val="59595B"/>
                <w:sz w:val="20"/>
              </w:rPr>
              <w:t>Hosts Affected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2</w:t>
            </w:r>
          </w:p>
          <w:p>
            <w:pPr>
              <w:spacing w:before="0" w:after="240"/>
              <w:jc w:val="center"/>
            </w:pPr>
            <w:r>
              <w:rPr>
                <w:rFonts w:ascii="Open Sans" w:hAnsi="Open Sans"/>
                <w:b w:val="0"/>
                <w:i w:val="0"/>
                <w:color w:val="59595B"/>
                <w:sz w:val="20"/>
              </w:rPr>
              <w:t>Alert Categories</w:t>
            </w:r>
          </w:p>
        </w:tc>
      </w:tr>
    </w:tbl>
    <w:tbl>
      <w:tblPr>
        <w:tblW w:type="auto" w:w="0"/>
        <w:tblLook w:firstColumn="1" w:firstRow="1" w:lastColumn="0" w:lastRow="0" w:noHBand="0" w:noVBand="1" w:val="04A0"/>
      </w:tblPr>
      <w:tblGrid>
        <w:gridCol w:w="9360"/>
      </w:tblGrid>
      <w:tr>
        <w:tc>
          <w:tcPr>
            <w:tcW w:type="dxa" w:w="9360"/>
            <w:shd w:val="clear" w:color="auto" w:fill="FFEEEE"/>
            <w:tcBorders>
              <w:top w:val="single" w:sz="12" w:color="CC0000"/>
              <w:left w:val="single" w:sz="12" w:color="CC0000"/>
              <w:bottom w:val="single" w:sz="12" w:color="CC0000"/>
              <w:right w:val="single" w:sz="12" w:color="CC0000"/>
            </w:tcBorders>
          </w:tcPr>
          <w:p>
            <w:pPr>
              <w:spacing w:before="120" w:after="120"/>
            </w:pPr>
            <w:r>
              <w:rPr>
                <w:rFonts w:ascii="Open Sans" w:hAnsi="Open Sans"/>
                <w:b w:val="0"/>
                <w:i w:val="0"/>
                <w:color w:val="1A1A2E"/>
                <w:sz w:val="22"/>
              </w:rPr>
              <w:t>8 Critical or High severity alert(s) were raised this month. See the Threat Activity section for details and recommended actions.</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March 2026, CrowdStrike Falcon raised 21 alert(s) across 4 endpoint(s). Each alert was reviewed by Technijian's security operations team. The breakdown below shows what was detected and at what severity.</w:t>
      </w:r>
    </w:p>
    <w:p/>
    <w:p>
      <w:pPr>
        <w:spacing w:after="160"/>
      </w:pPr>
      <w:r>
        <w:rPr>
          <w:rFonts w:ascii="Open Sans" w:hAnsi="Open Sans"/>
          <w:b/>
          <w:i w:val="0"/>
          <w:color w:val="1A1A2E"/>
          <w:sz w:val="24"/>
        </w:rPr>
        <w:t>Alerts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r>
    </w:tbl>
    <w:p/>
    <w:p>
      <w:pPr>
        <w:spacing w:after="160"/>
      </w:pPr>
      <w:r>
        <w:rPr>
          <w:rFonts w:ascii="Open Sans" w:hAnsi="Open Sans"/>
          <w:b/>
          <w:i w:val="0"/>
          <w:color w:val="1A1A2E"/>
          <w:sz w:val="24"/>
        </w:rPr>
        <w:t>Detection categories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Detection Signal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Correlated Alert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bl>
    <w:p/>
    <w:p>
      <w:pPr>
        <w:spacing w:after="160"/>
      </w:pPr>
      <w:r>
        <w:rPr>
          <w:rFonts w:ascii="Open Sans" w:hAnsi="Open Sans"/>
          <w:b/>
          <w:i w:val="0"/>
          <w:color w:val="1A1A2E"/>
          <w:sz w:val="24"/>
        </w:rPr>
        <w:t>MITRE ATT&amp;CK tactics observed</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Most active endpoints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KEVINT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MATTW</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RYANSWIN11</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MATYAS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bl>
    <w:p/>
    <w:p>
      <w:pPr>
        <w:spacing w:after="160"/>
      </w:pPr>
      <w:r>
        <w:rPr>
          <w:rFonts w:ascii="Open Sans" w:hAnsi="Open Sans"/>
          <w:b/>
          <w:i w:val="0"/>
          <w:color w:val="1A1A2E"/>
          <w:sz w:val="24"/>
        </w:rPr>
        <w:t>Alert detail</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SuspiciousFileWritten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RYANSWIN11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KEVINT at 2026-03-16T07:24:55Z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KEVINT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RYANSWIN11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MATTW at 2026-03-18T16:34:10Z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MATTW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RYANSWIN11 at 2026-03-31T08:07:28Z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RYANSWIN11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RYANSWIN11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SuspiciousFileWritten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KEVINT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MATTW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MATTW</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DoubleExtensionWritten</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KEVINT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LowestConfidenceMalware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MATTW</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ChromeLoginDataAccessed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MATTW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KEVINT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MATYAS</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MATYAS</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KEVINT at 2026-03-10T20:51:25Z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KEVINT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ChromeLoginDataAccessed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KEVINT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SensorHandleOpenedLow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KEVINT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MATYAS</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MATYAS at 2026-03-04T15:25:53Z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MATYAS</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KEVINT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CrowdStrike Falcon monitored your endpoints 24x7 using behavioral AI and threat intelligence. Every process, network connection, and file operation was inspected in real time.</w:t>
      </w:r>
    </w:p>
    <w:p>
      <w:pPr>
        <w:pStyle w:val="ListBullet"/>
        <w:spacing w:after="80"/>
      </w:pPr>
      <w:r>
        <w:rPr>
          <w:rFonts w:ascii="Open Sans" w:hAnsi="Open Sans"/>
          <w:b/>
          <w:i w:val="0"/>
          <w:color w:val="1A1A2E"/>
          <w:sz w:val="22"/>
        </w:rPr>
        <w:t xml:space="preserve">Alert triage. </w:t>
      </w:r>
      <w:r>
        <w:rPr>
          <w:rFonts w:ascii="Open Sans" w:hAnsi="Open Sans"/>
          <w:b w:val="0"/>
          <w:i w:val="0"/>
          <w:color w:val="59595B"/>
          <w:sz w:val="22"/>
        </w:rPr>
        <w:t>Our security operations team reviewed all 21 alert(s) raised this month and classified each by severity and risk.</w:t>
      </w:r>
    </w:p>
    <w:p>
      <w:pPr>
        <w:pStyle w:val="ListBullet"/>
        <w:spacing w:after="80"/>
      </w:pPr>
      <w:r>
        <w:rPr>
          <w:rFonts w:ascii="Open Sans" w:hAnsi="Open Sans"/>
          <w:b/>
          <w:i w:val="0"/>
          <w:color w:val="1A1A2E"/>
          <w:sz w:val="22"/>
        </w:rPr>
        <w:t xml:space="preserve">Threat intelligence. </w:t>
      </w:r>
      <w:r>
        <w:rPr>
          <w:rFonts w:ascii="Open Sans" w:hAnsi="Open Sans"/>
          <w:b w:val="0"/>
          <w:i w:val="0"/>
          <w:color w:val="59595B"/>
          <w:sz w:val="22"/>
        </w:rPr>
        <w:t>Detections were cross-referenced with CrowdStrike's global threat intelligence database and MITRE ATT&amp;CK framework to identify adversary tactics and techniques.</w:t>
      </w:r>
    </w:p>
    <w:p>
      <w:pPr>
        <w:pStyle w:val="ListBullet"/>
        <w:spacing w:after="80"/>
      </w:pPr>
      <w:r>
        <w:rPr>
          <w:rFonts w:ascii="Open Sans" w:hAnsi="Open Sans"/>
          <w:b/>
          <w:i w:val="0"/>
          <w:color w:val="1A1A2E"/>
          <w:sz w:val="22"/>
        </w:rPr>
        <w:t xml:space="preserve">Incident coordination. </w:t>
      </w:r>
      <w:r>
        <w:rPr>
          <w:rFonts w:ascii="Open Sans" w:hAnsi="Open Sans"/>
          <w:b w:val="0"/>
          <w:i w:val="0"/>
          <w:color w:val="59595B"/>
          <w:sz w:val="22"/>
        </w:rPr>
        <w:t>No escalated incidents required response this month. All detections were resolved within normal triage workflow.</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Endpoint inventory, sensor version, and detection telemetry were captured to support your security posture reviews and compliance reporting.</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CrowdStrike announced no major platform changes this month. Routine detection-content updates and sensor improvements continued to roll out automatically. Technijian tracks CrowdStrike's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i w:val="0"/>
          <w:color w:val="1A1A2E"/>
          <w:sz w:val="24"/>
        </w:rPr>
        <w:t>Review and close open Critical/High alerts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31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SuspiciousFileWritten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KEVINT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MATTW</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MATTW</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ChromeLoginDataAccessed</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MATTW</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MATYAS</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ChromeLoginDataAccessed</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KEVINT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MATYAS</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KEVINT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pPr>
        <w:spacing w:after="160"/>
      </w:pPr>
      <w:r>
        <w:rPr>
          <w:rFonts w:ascii="Open Sans" w:hAnsi="Open Sans"/>
          <w:b w:val="0"/>
          <w:i w:val="0"/>
          <w:color w:val="59595B"/>
          <w:sz w:val="22"/>
        </w:rPr>
        <w:t>Recommended action: email support@technijian.com to review each open Critical/High alert with our team, confirm no further attacker activity is present, and close or suppress confirmed false positives.</w:t>
      </w:r>
    </w:p>
    <w:p/>
    <w:p>
      <w:pPr>
        <w:spacing w:after="160"/>
      </w:pPr>
      <w:r>
        <w:rPr>
          <w:rFonts w:ascii="Open Sans" w:hAnsi="Open Sans"/>
          <w:b/>
          <w:i w:val="0"/>
          <w:color w:val="1A1A2E"/>
          <w:sz w:val="24"/>
        </w:rPr>
        <w:t>Enable daily host inventory snapshots</w:t>
      </w:r>
    </w:p>
    <w:p>
      <w:pPr>
        <w:spacing w:after="160"/>
      </w:pPr>
      <w:r>
        <w:rPr>
          <w:rFonts w:ascii="Open Sans" w:hAnsi="Open Sans"/>
          <w:b w:val="0"/>
          <w:i w:val="0"/>
          <w:color w:val="59595B"/>
          <w:sz w:val="22"/>
        </w:rPr>
        <w:t>The CrowdStrike daily pull scheduled task has not yet been registered on the Technijian monitoring workstation. Once registered, future reports will include full endpoint inventory with sensor version, OS distribution, and check-in age analysis. Email support@technijian.com to schedule this one-time setup step.</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CrowdStrike Falcon and Huntress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CrowdStrike and Huntress are deliberately complementary. CrowdStrike's Falcon is industry-leading nation-state-grade EDR with the broadest telemetry collection and the most mature threat-intel feed in the market. Huntress is tuned for the SMB and mid-market threat landscape — phishing-driven footholds, persistence tradecraft, credential theft, and the kinds of attacks that target managed-service customers.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CrowdStrike's Overwatch team and Huntress's SOC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delivers 24x7 endpoint detection and response (EDR) powered by the CrowdStrike Falcon platform. Activity captured here is pulled directly from the Falcon API for your tenant. Alert and incident data is filtered to the calendar month above. Endpoint inventory, when available, is a point-in-time snapshot taken at report generation.</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