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TOR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1.0 TB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4%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680 days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Veeam ONE monitoring tracked 1 backup repository for TOR as of 2026-05-02. Total capacity is 1.0 TB with a projected runway of 680 days at the current growth rate. Capacity, repository state, and business-view coverage are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Runway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Max Tasks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Immutable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 TB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986.4 GB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680 days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DS-NBD1-TOR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backup repository </w:t>
      </w:r>
      <w:r>
        <w:rPr>
          <w:rFonts w:ascii="Open Sans" w:hAnsi="Open Sans"/>
          <w:b w:val="0"/>
          <w:i w:val="0"/>
          <w:color w:val="59595B"/>
          <w:sz w:val="22"/>
        </w:rPr>
        <w:t>via Veeam ONE during January 2026, capturing capacity, free space, and projected runway every day.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immutability where supported: </w:t>
      </w:r>
      <w:r>
        <w:rPr>
          <w:rFonts w:ascii="Open Sans" w:hAnsi="Open Sans"/>
          <w:b w:val="0"/>
          <w:i w:val="0"/>
          <w:color w:val="59595B"/>
          <w:sz w:val="22"/>
        </w:rPr>
        <w:t>none of the watched repositories enforce immutable backups today. Where the underlying storage supports it, immutable retention provides strong ransomware resilience.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'TOR'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