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Via Auto Finance — April 2026</w:t>
      </w:r>
    </w:p>
    <w:p>
      <w:pPr>
        <w:jc w:val="center"/>
      </w:pPr>
      <w:r>
        <w:rPr>
          <w:rFonts w:ascii="Open Sans" w:hAnsi="Open Sans"/>
          <w:b w:val="0"/>
          <w:i w:val="0"/>
          <w:color w:val="59595B"/>
          <w:sz w:val="24"/>
        </w:rPr>
        <w:t>Reporting period: 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210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Via Auto Finance during April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C010018R8J6R23A</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64.58.151.18</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10.254.254.2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64.58.151.18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(5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GuestAccess_DHCP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April 2026: 210.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210</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30</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120</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3 total. Events include policy matches, threat detections, and system activity recorded by the firewall and reported to Sophos Central.</w:t>
      </w:r>
    </w:p>
    <w:p>
      <w:pPr>
        <w:spacing w:after="160"/>
      </w:pPr>
      <w:r>
        <w:rPr>
          <w:rFonts w:ascii="Open Sans" w:hAnsi="Open Sans"/>
          <w:b/>
          <w:i w:val="0"/>
          <w:color w:val="59595B"/>
          <w:sz w:val="22"/>
        </w:rPr>
        <w:t>Events by group:</w:t>
      </w:r>
    </w:p>
    <w:tbl>
      <w:tblPr>
        <w:tblW w:type="auto" w:w="0"/>
        <w:tblLayout w:type="fixed"/>
        <w:tblLook w:firstColumn="1" w:firstRow="1" w:lastColumn="0" w:lastRow="0" w:noHBand="0" w:noVBand="1" w:val="04A0"/>
      </w:tblPr>
      <w:tblGrid>
        <w:gridCol w:w="4680"/>
        <w:gridCol w:w="4680"/>
      </w:tblGrid>
      <w:tr>
        <w:tc>
          <w:tcPr>
            <w:tcW w:type="dxa" w:w="64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 Group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4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Pr>
        <w:spacing w:after="160"/>
      </w:pPr>
      <w:r>
        <w:rPr>
          <w:rFonts w:ascii="Open Sans" w:hAnsi="Open Sans"/>
          <w:b/>
          <w:i w:val="0"/>
          <w:color w:val="59595B"/>
          <w:sz w:val="22"/>
        </w:rPr>
        <w:t>Top event types:</w:t>
      </w:r>
    </w:p>
    <w:tbl>
      <w:tblPr>
        <w:tblW w:type="auto" w:w="0"/>
        <w:tblLayout w:type="fixed"/>
        <w:tblLook w:firstColumn="1" w:firstRow="1" w:lastColumn="0" w:lastRow="0" w:noHBand="0" w:noVBand="1" w:val="04A0"/>
      </w:tblPr>
      <w:tblGrid>
        <w:gridCol w:w="4680"/>
        <w:gridCol w:w="4680"/>
      </w:tblGrid>
      <w:tr>
        <w:tc>
          <w:tcPr>
            <w:tcW w:type="dxa" w:w="64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 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4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Event::Firewall::LostConnectionToSophosCentral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4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Event::Firewall::FirewallGatewayUp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4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Event::Firewall::Reconnected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Events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30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18:15 for client 'VAF'.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