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10 virtual machine(s) and 2 datastore(s) for VAF during January 2026, with 10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10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January 2026, with 10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'VAF'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