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3 backup session(s) across 2 configured job(s) for VAF, with a 33%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18:25 for client 'VAF'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