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Vintage Group</w:t>
      </w:r>
    </w:p>
    <w:p>
      <w:pPr>
        <w:jc w:val="center"/>
      </w:pPr>
      <w:r>
        <w:rPr>
          <w:rFonts w:ascii="Open Sans" w:hAnsi="Open Sans"/>
          <w:b w:val="0"/>
          <w:i w:val="0"/>
          <w:color w:val="59595B"/>
          <w:sz w:val="24"/>
        </w:rPr>
        <w:t>January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Vintage Group during January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1</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1 endpoint(s) with Microsoft Defender or firewall in a non-protected state.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Server 2022 Standard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Disabled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No incident reports or active signals were raised against your environment during January 2026. Continuous monitoring stayed in place the entire period — a quiet month means our platform did not detect actor activity that needed a response.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1 of 1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6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Huntress announced no major platform changes this month. Routine detection-content updates and sensor improvements continued to roll out automatically. Technijian tracks Huntress's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VG-DC-3CX-02</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bl>
    <w:p>
      <w:pPr>
        <w:spacing w:after="160"/>
      </w:pPr>
      <w:r>
        <w:rPr>
          <w:rFonts w:ascii="Open Sans" w:hAnsi="Open Sans"/>
          <w:b w:val="0"/>
          <w:i w:val="0"/>
          <w:color w:val="59595B"/>
          <w:sz w:val="22"/>
        </w:rPr>
        <w:t>Email support@technijian.com to review the listed endpoints with our team and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Huntress and CrowdStrike Falcon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Huntress and CrowdStrike are deliberately complementary. Huntress is tuned for the SMB and mid-market threat landscape — phishing-driven footholds, persistence tradecraft, credential theft, and the kinds of attacks that target managed-service customers. CrowdStrike's Falcon is industry-leading nation-state-grade EDR with the broadest telemetry collection and the most mature threat-intel feed in the market.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Huntress's SOC and CrowdStrike's Overwatch team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