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AAVA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34 patches across 5 AAVA endpoints. The deployment success rate was 100.0% (34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AAVA's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Megan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Bus-Center-PC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DESKTOP-N6E84SS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Melsdesktop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DESKTOP-I7G1MM7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58.8%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dotnet-runtime-6.0.36-win-x64.exe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windowsdesktop-runtime-6.0.36-win-x64.exe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expressvpn_windows_12.104.0.128_release.exe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408c162b-fd3d-42e0-b89d-64357487a90c_0110812791a66ac77ad2fb8adc336c7cb6885300.cab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TeamViewer_Setup_15.74.3.exe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228b3e8a-0c81-49ef-a079-7d4627944b0e_59a950f8b5a12ebe92767065bc0a7b6ddd843bd7_PCI_VEN_8086_DEV_4690.cab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228b3e8a-0c81-49ef-a079-7d4627944b0e_59a950f8b5a12ebe92767065bc0a7b6ddd843bd7_PCI_VEN_8086_DEV_A721.cab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jre-8u481-windows-x64.exe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5f448083-ad9e-4e6c-bd98-d45323f49d62_1ccfe3dd5fb72e39ed86279f241698701184ceb4_PCI_VEN_8086_DEV_1A1C.cab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99388e04-cb13-4c20-b41c-a9b1add1df04_7133b4802489401a2092360de59ed5e390cf6af5_PCI_VEN_8086_DEV_9A78.cab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'AAVA'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