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45 patches across 5 AAVA endpoints. The deployment success rate was 100.0% (45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68.9%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28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MicrosoftEdgeWebView2RuntimeInstallerX64_144.0.3719.115.exe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TeamViewer_Setup_15.75.4.exe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OptiPlex_7400_1.1.56_OptiPlex 7400 AIO.exe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7ed4d21b-2cf4-468a-932b-a5fc5377317f_68febbb323940739605cc6667a95cdc438949c73_PCI__VEN_8086_DEV_4690.cab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7ed4d21b-2cf4-468a-932b-a5fc5377317f_68febbb323940739605cc6667a95cdc438949c73_PCI__VEN_8086_DEV_A721.cab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52e54d9e-d959-439e-b056-96200d85163a_9430477addbfc0dd49c054dd13655b8274c11abd_PCI_VEN_8086_DEV_9A78.cab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211ef518-2e1b-4f74-ac09-e5a51f642541_21f9ff47678a567a05f0f040fed5341be26617f3_HDAUDIO_FUNC_01_VEN_10EC_DEV_0274.cab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'AAVA'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