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AFFG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11 patches across 1 AFFG endpoints. The deployment success rate was 63.6% (7 succeeded / 2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8EA"/>
            <w:tcBorders>
              <w:top w:val="single" w:sz="12" w:color="CC0000"/>
              <w:left w:val="single" w:sz="12" w:color="CC0000"/>
              <w:bottom w:val="single" w:sz="12" w:color="CC0000"/>
              <w:right w:val="single" w:sz="12" w:color="CC0000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AFFG has no Automated Patch Deployment task configured in Endpoint Central. Patches are NOT being deployed on a schedule for this client. Recommend opening a CP ticket with India tech support to configure an APD task aligned with the client's preferred maintenance window.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Tencent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Surfshark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Notion Labs,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TencentMeeting_0300000000_3.41.10.435_x86_64.publish.officialwebsite.exe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VooVMeeting_1410000197_3.32.21.510.publish.exe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SurfsharkSetup_6.6.1999.0.exe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Notion_Setup_7.8.0.exe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Teams_windows_1.8.00.27654_x_64.Msi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SurfsharkSetup_6.6.1999.0.exe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 09:29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Notion_Setup_7.8.0.exe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 09:29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'AFFG'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