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Pr>
        <w:spacing w:after="160"/>
      </w:pPr>
      <w:r>
        <w:rPr>
          <w:rFonts w:ascii="Open Sans" w:hAnsi="Open Sans"/>
          <w:b/>
          <w:i w:val="0"/>
          <w:color w:val="006DB6"/>
          <w:sz w:val="44"/>
        </w:rPr>
        <w:t>ALG — Veeam Backup for Microsoft 365</w:t>
      </w:r>
    </w:p>
    <w:p>
      <w:pPr>
        <w:spacing w:after="160"/>
      </w:pPr>
      <w:r>
        <w:rPr>
          <w:rFonts w:ascii="Open Sans" w:hAnsi="Open Sans"/>
          <w:b w:val="0"/>
          <w:i w:val="0"/>
          <w:color w:val="59595B"/>
          <w:sz w:val="24"/>
        </w:rPr>
        <w:t>Monthly Backup Report — 2026-05</w:t>
      </w:r>
    </w:p>
    <w:p>
      <w:pPr>
        <w:spacing w:after="160"/>
      </w:pPr>
      <w:r>
        <w:rPr>
          <w:rFonts w:ascii="Open Sans" w:hAnsi="Open Sans"/>
          <w:b w:val="0"/>
          <w:i w:val="0"/>
          <w:color w:val="59595B"/>
          <w:sz w:val="20"/>
        </w:rPr>
        <w:t>M365 tenant: NETORG672839.onmicrosoft.com</w:t>
      </w:r>
    </w:p>
    <w:p>
      <w:pPr>
        <w:spacing w:after="160"/>
      </w:pPr>
      <w:r>
        <w:rPr>
          <w:rFonts w:ascii="Open Sans" w:hAnsi="Open Sans"/>
          <w:b w:val="0"/>
          <w:i w:val="0"/>
          <w:color w:val="59595B"/>
          <w:sz w:val="20"/>
        </w:rPr>
        <w:t>Report generated: 2026-05-02 13:01</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tbl>
      <w:tblPr>
        <w:tblW w:type="auto" w:w="0"/>
        <w:tblLook w:firstColumn="1" w:firstRow="1" w:lastColumn="0" w:lastRow="0" w:noHBand="0" w:noVBand="1" w:val="04A0"/>
      </w:tblPr>
      <w:tblGrid>
        <w:gridCol w:w="9360"/>
      </w:tblGrid>
      <w:tr>
        <w:tc>
          <w:tcPr>
            <w:tcW w:type="dxa" w:w="9360"/>
            <w:shd w:val="clear" w:color="auto" w:fill="FEF3EE"/>
            <w:tcBorders>
              <w:top w:val="single" w:sz="12" w:color="F67D4B"/>
              <w:left w:val="single" w:sz="12" w:color="F67D4B"/>
              <w:bottom w:val="single" w:sz="12" w:color="F67D4B"/>
              <w:right w:val="single" w:sz="12" w:color="F67D4B"/>
            </w:tcBorders>
          </w:tcPr>
          <w:p>
            <w:pPr>
              <w:spacing w:before="120" w:after="120"/>
            </w:pPr>
            <w:r>
              <w:rPr>
                <w:rFonts w:ascii="Open Sans" w:hAnsi="Open Sans"/>
                <w:b w:val="0"/>
                <w:i w:val="0"/>
                <w:color w:val="1A1A2E"/>
                <w:sz w:val="22"/>
              </w:rPr>
              <w:t>35 M365 users in this tenant are protected by Veeam Backup for Microsoft 365. Total backup storage in use is 2.57 TB across 1 repository, with 1 active backup job. This report breaks down storage by Microsoft 365 service, lists per-user backup coverage, and projects how storage will grow over the next 12 months.</w:t>
            </w:r>
          </w:p>
        </w:tc>
      </w:tr>
    </w:tbl>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35</w:t>
            </w:r>
          </w:p>
          <w:p>
            <w:pPr>
              <w:spacing w:before="0" w:after="240"/>
              <w:jc w:val="center"/>
            </w:pPr>
            <w:r>
              <w:rPr>
                <w:rFonts w:ascii="Open Sans" w:hAnsi="Open Sans"/>
                <w:b w:val="0"/>
                <w:i w:val="0"/>
                <w:color w:val="59595B"/>
                <w:sz w:val="20"/>
              </w:rPr>
              <w:t>M365 Users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29</w:t>
            </w:r>
          </w:p>
          <w:p>
            <w:pPr>
              <w:spacing w:before="0" w:after="240"/>
              <w:jc w:val="center"/>
            </w:pPr>
            <w:r>
              <w:rPr>
                <w:rFonts w:ascii="Open Sans" w:hAnsi="Open Sans"/>
                <w:b w:val="0"/>
                <w:i w:val="0"/>
                <w:color w:val="59595B"/>
                <w:sz w:val="20"/>
              </w:rPr>
              <w:t>Users w/ OneDrive backed up</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2.57 TB</w:t>
            </w:r>
          </w:p>
          <w:p>
            <w:pPr>
              <w:spacing w:before="0" w:after="240"/>
              <w:jc w:val="center"/>
            </w:pPr>
            <w:r>
              <w:rPr>
                <w:rFonts w:ascii="Open Sans" w:hAnsi="Open Sans"/>
                <w:b w:val="0"/>
                <w:i w:val="0"/>
                <w:color w:val="59595B"/>
                <w:sz w:val="20"/>
              </w:rPr>
              <w:t>Backup Storage Used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1</w:t>
            </w:r>
          </w:p>
          <w:p>
            <w:pPr>
              <w:spacing w:before="0" w:after="240"/>
              <w:jc w:val="center"/>
            </w:pPr>
            <w:r>
              <w:rPr>
                <w:rFonts w:ascii="Open Sans" w:hAnsi="Open Sans"/>
                <w:b w:val="0"/>
                <w:i w:val="0"/>
                <w:color w:val="59595B"/>
                <w:sz w:val="20"/>
              </w:rPr>
              <w:t>Backup Jobs (Warning)</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Backup Posture</w:t>
            </w:r>
          </w:p>
        </w:tc>
      </w:tr>
    </w:tbl>
    <w:tbl>
      <w:tblPr>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Job</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Backup Type</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Last Run</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c>
          <w:tcPr>
            <w:tcW w:type="dxa" w:w="86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Enabled</w:t>
            </w:r>
          </w:p>
        </w:tc>
        <w:tc>
          <w:tcPr>
            <w:tcW w:type="dxa" w:w="14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Next Run</w:t>
            </w:r>
          </w:p>
        </w:tc>
      </w:tr>
      <w:tr>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ALG-O365</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EntireOrganization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2026-05-02T19:10:22.4492676Z</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Warning</w:t>
            </w:r>
          </w:p>
        </w:tc>
        <w:tc>
          <w:tcPr>
            <w:tcW w:type="dxa" w:w="86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2026-05-03T08:00:00Z</w:t>
            </w:r>
          </w:p>
        </w:tc>
      </w:tr>
    </w:tbl>
    <w:p>
      <w:pPr>
        <w:spacing w:after="160"/>
      </w:pPr>
      <w:r>
        <w:rPr>
          <w:rFonts w:ascii="Open Sans" w:hAnsi="Open Sans"/>
          <w:b/>
          <w:i w:val="0"/>
          <w:color w:val="1A1A2E"/>
          <w:sz w:val="22"/>
        </w:rPr>
        <w:t>Backup repositories:</w:t>
      </w:r>
    </w:p>
    <w:tbl>
      <w:tblPr>
        <w:tblW w:type="auto" w:w="0"/>
        <w:tblLayout w:type="fixed"/>
        <w:tblLook w:firstColumn="1" w:firstRow="1" w:lastColumn="0" w:lastRow="0" w:noHBand="0" w:noVBand="1" w:val="04A0"/>
      </w:tblPr>
      <w:tblGrid>
        <w:gridCol w:w="1872"/>
        <w:gridCol w:w="1872"/>
        <w:gridCol w:w="1872"/>
        <w:gridCol w:w="1872"/>
        <w:gridCol w:w="1872"/>
      </w:tblGrid>
      <w:tr>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Repository</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Used</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Capacity</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Free</w:t>
            </w:r>
          </w:p>
        </w:tc>
        <w:tc>
          <w:tcPr>
            <w:tcW w:type="dxa" w:w="345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Path</w:t>
            </w:r>
          </w:p>
        </w:tc>
      </w:tr>
      <w:tr>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ALG-O365</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2.57 TB</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3.00 TB</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442.01 GB</w:t>
            </w:r>
          </w:p>
        </w:tc>
        <w:tc>
          <w:tcPr>
            <w:tcW w:type="dxa" w:w="345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C:\O365 Backups\bkp_ALG-365</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Storage by M365 Module</w:t>
            </w:r>
          </w:p>
        </w:tc>
      </w:tr>
    </w:tbl>
    <w:p>
      <w:pPr>
        <w:spacing w:after="160"/>
      </w:pPr>
      <w:r>
        <w:rPr>
          <w:rFonts w:ascii="Open Sans" w:hAnsi="Open Sans"/>
          <w:b w:val="0"/>
          <w:i w:val="0"/>
          <w:color w:val="59595B"/>
          <w:sz w:val="20"/>
        </w:rPr>
        <w:t>Per-module bytes are estimated by attributing the tenant's total used backup storage in proportion to how often each service appeared in restore points over the last 90 days, weighted by industry-default ratios. For exact per-mailbox / per-site sizes, run the VB365 PowerShell module (Get-VBOEntityData).</w:t>
      </w:r>
    </w:p>
    <w:tbl>
      <w:tblPr>
        <w:tblW w:type="auto" w:w="0"/>
        <w:tblLayout w:type="fixed"/>
        <w:tblLook w:firstColumn="1" w:firstRow="1" w:lastColumn="0" w:lastRow="0" w:noHBand="0" w:noVBand="1" w:val="04A0"/>
      </w:tblPr>
      <w:tblGrid>
        <w:gridCol w:w="2340"/>
        <w:gridCol w:w="2340"/>
        <w:gridCol w:w="2340"/>
        <w:gridCol w:w="2340"/>
      </w:tblGrid>
      <w:tr>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Module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Estimated Storage</w:t>
            </w:r>
          </w:p>
        </w:tc>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Share of Total</w:t>
            </w:r>
          </w:p>
        </w:tc>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RP coverage (last 90d)</w:t>
            </w:r>
          </w:p>
        </w:tc>
      </w:tr>
      <w:tr>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Exchange</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1.24 TB</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48.2%</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 / 23</w:t>
            </w:r>
          </w:p>
        </w:tc>
      </w:tr>
      <w:tr>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OneDrive</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911.26 GB</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34.7%</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19 / 23</w:t>
            </w:r>
          </w:p>
        </w:tc>
      </w:tr>
      <w:tr>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SharePoint</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345.32 GB</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13.1%</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 / 23</w:t>
            </w:r>
          </w:p>
        </w:tc>
      </w:tr>
      <w:tr>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Teams</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105.51 GB</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4.0%</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11 / 23</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Per-User Backup Coverage</w:t>
            </w:r>
          </w:p>
        </w:tc>
      </w:tr>
    </w:tbl>
    <w:p>
      <w:pPr>
        <w:spacing w:after="160"/>
      </w:pPr>
      <w:r>
        <w:rPr>
          <w:rFonts w:ascii="Open Sans" w:hAnsi="Open Sans"/>
          <w:b w:val="0"/>
          <w:i w:val="0"/>
          <w:color w:val="59595B"/>
          <w:sz w:val="20"/>
        </w:rPr>
        <w:t>35 users in the M365 directory. Mailbox coverage is set Yes for every user when the job is EntireOrganization (current setting). OneDrive coverage is determined by probing /users/{id}/onedrives.</w:t>
      </w:r>
    </w:p>
    <w:tbl>
      <w:tblPr>
        <w:tblW w:type="auto" w:w="0"/>
        <w:tblLayout w:type="fixed"/>
        <w:tblLook w:firstColumn="1" w:firstRow="1" w:lastColumn="0" w:lastRow="0" w:noHBand="0" w:noVBand="1" w:val="04A0"/>
      </w:tblPr>
      <w:tblGrid>
        <w:gridCol w:w="2340"/>
        <w:gridCol w:w="2340"/>
        <w:gridCol w:w="2340"/>
        <w:gridCol w:w="2340"/>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Display Name</w:t>
            </w:r>
          </w:p>
        </w:tc>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Email</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Mailbox</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OneDrive</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Bianca Guerrero</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bianca@algrointernational.com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Leena Mallam</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leena@algrointernational.com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algrointernational.com</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admin@NETORG672839.onmicrosoft.com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Thomas Trull</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thomas@algrointernational.com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Sinem Eren</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sinem@algrointernational.com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Preya Patel Bhakta</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Preya@algrointernational.com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Celine Lee</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celine@algrointernational.com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Carolina Alves-Nijinski</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carolina@algrointernational.com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Diana Trujillo</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diana.t@algrointernational.com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Humberto Muñoz Rojas</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humberto@algrointernational.com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Deepak Bansal</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Deepak@algrointernational.com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Patricia Quezada</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patricia@algrointernational.com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Technijian Support</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technijian@algrointernational.com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Alicia Martinez</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alicia@algrointernational.com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Penny McNerney</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Penny@algrointernational.com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Paola Pruitt</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paola@algrointernational.com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Diana DAgostino</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Diana@algrointernational.com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Robert Walsky</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rob@algrointernational.com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Jyoti Bansal</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jyoti@algrointernational.com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Andrew Case</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andrew@algrointernational.com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Shahrokh Pourmand</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shahrokh@algrointernational.com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Dino Sarma</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dino@algrointernational.com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Chrstina Nasrallah</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christina@algrointernational.com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Veronica Espinoza</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veronica@algrointernational.com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Najmeh Mortaji</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najmeh@algrointernational.com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Fang Pan</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fang@algrointernational.com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Smita Prakaitip</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smita@algrointernational.com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Shelly Jain</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shelly@algrointernational.com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 Search Mailbox</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DiscoverySearchMailbox{D919BA05-46A6-415f-80AD-7E09334BB852}@NETORG672839.onmicrosoft.com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Linh Tran</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linh@algrointernational.com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Sunny Sark</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ssark@algrointernational.com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Yajanny Alvarez</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yajanny@algrointernational.com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Joe Browne</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joe@algrointernational.com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Hailey Nguyen</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hailey@algrointernational.com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Penny McNerney</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Mcnerneypenny908_gmail.com#EXT#@NETORG672839.onmicrosoft.com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Storage Trend &amp; Projection</w:t>
            </w:r>
          </w:p>
        </w:tc>
      </w:tr>
    </w:tbl>
    <w:p>
      <w:pPr>
        <w:spacing w:after="160"/>
      </w:pPr>
      <w:r>
        <w:rPr>
          <w:rFonts w:ascii="Open Sans" w:hAnsi="Open Sans"/>
          <w:b w:val="0"/>
          <w:i w:val="0"/>
          <w:color w:val="59595B"/>
          <w:sz w:val="20"/>
        </w:rPr>
        <w:t>Projection method: industry default 4% MoM (will refine after 2+ monthly snapshots). Compound monthly growth rate used: 4.00%.</w:t>
      </w:r>
    </w:p>
    <w:tbl>
      <w:tblPr>
        <w:tblW w:type="auto" w:w="0"/>
        <w:tblLayout w:type="fixed"/>
        <w:tblLook w:firstColumn="1" w:firstRow="1" w:lastColumn="0" w:lastRow="0" w:noHBand="0" w:noVBand="1" w:val="04A0"/>
      </w:tblPr>
      <w:tblGrid>
        <w:gridCol w:w="3120"/>
        <w:gridCol w:w="3120"/>
        <w:gridCol w:w="3120"/>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Horizon</w:t>
            </w:r>
          </w:p>
        </w:tc>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Projected Storage</w:t>
            </w:r>
          </w:p>
        </w:tc>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Δ vs today</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Today (snapshot)</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2.57 TB</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 months</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2.89 TB</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+328.18 GB</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 months</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3.25 TB</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+697.33 GB</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 months</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3.65 TB</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+1.09 TB</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 months</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4.11 TB</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+1.54 TB</w:t>
            </w:r>
          </w:p>
        </w:tc>
      </w:tr>
    </w:tbl>
    <w:p>
      <w:r>
        <w:drawing>
          <wp:inline xmlns:a="http://schemas.openxmlformats.org/drawingml/2006/main" xmlns:pic="http://schemas.openxmlformats.org/drawingml/2006/picture">
            <wp:extent cx="5943600" cy="2672896"/>
            <wp:docPr id="1" name="Picture 1"/>
            <wp:cNvGraphicFramePr>
              <a:graphicFrameLocks noChangeAspect="1"/>
            </wp:cNvGraphicFramePr>
            <a:graphic>
              <a:graphicData uri="http://schemas.openxmlformats.org/drawingml/2006/picture">
                <pic:pic>
                  <pic:nvPicPr>
                    <pic:cNvPr id="0" name="veeam365_trend_ALG_53512.png"/>
                    <pic:cNvPicPr/>
                  </pic:nvPicPr>
                  <pic:blipFill>
                    <a:blip r:embed="rId11"/>
                    <a:stretch>
                      <a:fillRect/>
                    </a:stretch>
                  </pic:blipFill>
                  <pic:spPr>
                    <a:xfrm>
                      <a:off x="0" y="0"/>
                      <a:ext cx="5943600" cy="2672896"/>
                    </a:xfrm>
                    <a:prstGeom prst="rect"/>
                  </pic:spPr>
                </pic:pic>
              </a:graphicData>
            </a:graphic>
          </wp:inline>
        </w:drawing>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pStyle w:val="ListBullet"/>
        <w:spacing w:after="80"/>
      </w:pPr>
      <w:r>
        <w:rPr>
          <w:rFonts w:ascii="Open Sans" w:hAnsi="Open Sans"/>
          <w:b w:val="0"/>
          <w:i w:val="0"/>
          <w:color w:val="59595B"/>
          <w:sz w:val="22"/>
        </w:rPr>
        <w:t>Repository ALG-O365 is 86% full (442.01 GB free of 3.00 TB capacity).</w:t>
      </w:r>
    </w:p>
    <w:p>
      <w:pPr>
        <w:pStyle w:val="ListBullet"/>
        <w:spacing w:after="80"/>
      </w:pPr>
      <w:r>
        <w:rPr>
          <w:rFonts w:ascii="Open Sans" w:hAnsi="Open Sans"/>
          <w:b/>
          <w:i w:val="0"/>
          <w:color w:val="1A1A2E"/>
          <w:sz w:val="22"/>
        </w:rPr>
        <w:t xml:space="preserve">Capacity flag: </w:t>
      </w:r>
      <w:r>
        <w:rPr>
          <w:rFonts w:ascii="Open Sans" w:hAnsi="Open Sans"/>
          <w:b w:val="0"/>
          <w:i w:val="0"/>
          <w:color w:val="59595B"/>
          <w:sz w:val="22"/>
        </w:rPr>
        <w:t>Repository will hit ~90% utilization within 3 months at the current trend — begin capacity planning now.</w:t>
      </w:r>
    </w:p>
    <w:p>
      <w:pPr>
        <w:pStyle w:val="ListBullet"/>
        <w:spacing w:after="80"/>
      </w:pPr>
      <w:r>
        <w:rPr>
          <w:rFonts w:ascii="Open Sans" w:hAnsi="Open Sans"/>
          <w:b w:val="0"/>
          <w:i w:val="0"/>
          <w:color w:val="59595B"/>
          <w:sz w:val="22"/>
        </w:rPr>
        <w:t>Run this report monthly. The projection accuracy improves with each snapshot — after 3 snapshots the linear-regression fit replaces the industry-default growth assumption.</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Appendix: Methodology &amp; Data Sources</w:t>
            </w:r>
          </w:p>
        </w:tc>
      </w:tr>
    </w:tbl>
    <w:p>
      <w:pPr>
        <w:spacing w:after="160"/>
      </w:pPr>
      <w:r>
        <w:rPr>
          <w:rFonts w:ascii="Open Sans" w:hAnsi="Open Sans"/>
          <w:b/>
          <w:i w:val="0"/>
          <w:color w:val="1A1A2E"/>
          <w:sz w:val="22"/>
        </w:rPr>
        <w:t>Data sources</w:t>
      </w:r>
    </w:p>
    <w:p>
      <w:pPr>
        <w:pStyle w:val="ListBullet"/>
        <w:spacing w:after="80"/>
      </w:pPr>
      <w:r>
        <w:rPr>
          <w:rFonts w:ascii="Open Sans" w:hAnsi="Open Sans"/>
          <w:b w:val="0"/>
          <w:i w:val="0"/>
          <w:color w:val="59595B"/>
          <w:sz w:val="22"/>
        </w:rPr>
        <w:t>Veeam Backup for Microsoft 365 REST API at https://10.7.9.227:4443/v8 (OAuth2 password grant; self-signed TLS).</w:t>
      </w:r>
    </w:p>
    <w:p>
      <w:pPr>
        <w:pStyle w:val="ListBullet"/>
        <w:spacing w:after="80"/>
      </w:pPr>
      <w:r>
        <w:rPr>
          <w:rFonts w:ascii="Open Sans" w:hAnsi="Open Sans"/>
          <w:b w:val="0"/>
          <w:i w:val="0"/>
          <w:color w:val="59595B"/>
          <w:sz w:val="22"/>
        </w:rPr>
        <w:t>Endpoints used: /Organizations, /Organizations/{id}/usedRepositories, /Organizations/{id}/users, /Organizations/{id}/users/{uid}/onedrives, /BackupRepositories, /Jobs, /RestorePoints?backupTimeFrom=...</w:t>
      </w:r>
    </w:p>
    <w:p>
      <w:pPr>
        <w:spacing w:after="160"/>
      </w:pPr>
      <w:r>
        <w:rPr>
          <w:rFonts w:ascii="Open Sans" w:hAnsi="Open Sans"/>
          <w:b/>
          <w:i w:val="0"/>
          <w:color w:val="1A1A2E"/>
          <w:sz w:val="22"/>
        </w:rPr>
        <w:t>Per-module attribution caveat</w:t>
      </w:r>
    </w:p>
    <w:tbl>
      <w:tblPr>
        <w:tblW w:type="auto" w:w="0"/>
        <w:tblLook w:firstColumn="1" w:firstRow="1" w:lastColumn="0" w:lastRow="0" w:noHBand="0" w:noVBand="1" w:val="04A0"/>
      </w:tblPr>
      <w:tblGrid>
        <w:gridCol w:w="9360"/>
      </w:tblGrid>
      <w:tr>
        <w:tc>
          <w:tcPr>
            <w:tcW w:type="dxa" w:w="9360"/>
            <w:shd w:val="clear" w:color="auto" w:fill="FEF3EE"/>
            <w:tcBorders>
              <w:top w:val="single" w:sz="12" w:color="F67D4B"/>
              <w:left w:val="single" w:sz="12" w:color="F67D4B"/>
              <w:bottom w:val="single" w:sz="12" w:color="F67D4B"/>
              <w:right w:val="single" w:sz="12" w:color="F67D4B"/>
            </w:tcBorders>
          </w:tcPr>
          <w:p>
            <w:pPr>
              <w:spacing w:before="120" w:after="120"/>
            </w:pPr>
            <w:r>
              <w:rPr>
                <w:rFonts w:ascii="Open Sans" w:hAnsi="Open Sans"/>
                <w:b w:val="0"/>
                <w:i w:val="0"/>
                <w:color w:val="1A1A2E"/>
                <w:sz w:val="22"/>
              </w:rPr>
              <w:t>REST does not expose per-mailbox or per-OneDrive backup byte counts on this build. Per-module estimates reweight the total used storage by the share of restore points (over the trailing 90 days) that included each service. Treat the numbers as informed estimates, not invoiced figures. For ground-truth per-user/per-team sizes use the VB365 PowerShell module Get-VBOEntityData.</w:t>
            </w:r>
          </w:p>
        </w:tc>
      </w:tr>
    </w:tbl>
    <w:p>
      <w:pPr>
        <w:spacing w:after="160"/>
      </w:pPr>
      <w:r>
        <w:rPr>
          <w:rFonts w:ascii="Open Sans" w:hAnsi="Open Sans"/>
          <w:b/>
          <w:i w:val="0"/>
          <w:color w:val="1A1A2E"/>
          <w:sz w:val="22"/>
        </w:rPr>
        <w:t>Trend projection</w:t>
      </w:r>
    </w:p>
    <w:p>
      <w:pPr>
        <w:pStyle w:val="ListBullet"/>
        <w:spacing w:after="80"/>
      </w:pPr>
      <w:r>
        <w:rPr>
          <w:rFonts w:ascii="Open Sans" w:hAnsi="Open Sans"/>
          <w:b w:val="0"/>
          <w:i w:val="0"/>
          <w:color w:val="59595B"/>
          <w:sz w:val="22"/>
        </w:rPr>
        <w:t>With &lt;2 monthly snapshots: project at 4%/month compound.</w:t>
      </w:r>
    </w:p>
    <w:p>
      <w:pPr>
        <w:pStyle w:val="ListBullet"/>
        <w:spacing w:after="80"/>
      </w:pPr>
      <w:r>
        <w:rPr>
          <w:rFonts w:ascii="Open Sans" w:hAnsi="Open Sans"/>
          <w:b w:val="0"/>
          <w:i w:val="0"/>
          <w:color w:val="59595B"/>
          <w:sz w:val="22"/>
        </w:rPr>
        <w:t>With ≥2 snapshots: linear regression on log(bytes) over time.</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