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74 patches across 7 AOC endpoints. The deployment success rate was 98.6% (73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48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3de915d8-3c4d-4341-a002-840a5d8be101_97f01c46b968a3faa7e4a342a4b1dfb88ed86bbe_PCI__VEN_8086_DEV_15B7.cab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'AOC'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