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B2I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64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automated patch deployment installed 68 patches across 14 B2I endpoints. The deployment success rate was 94.1% (64 succeeded / 1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B2I's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victoria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Laptop-JonM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Jared-Friedman-PC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LAPTOP-EGS0JV44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LAPTOP-CO9S1K5I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Icaza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PONO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Jack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LPT-EREAD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B2I-3CX-LOANER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B2I-HQ-WINEDGE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KeithBrewer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ColeB2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kIKI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13.2%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48.5%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Parallels International GmbH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Advanced Micro Devices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31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RASClient-x64-21.0.26296.msi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cisco-secure-client-win-5.1.13.177-dart-predeploy-k9.msi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Office365_installer_19628.20150B_currentx86.exe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228b3e8a-0c81-49ef-a079-7d4627944b0e_59a950f8b5a12ebe92767065bc0a7b6ddd843bd7_PCI_VEN_8086_DEV_46A6.cab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228b3e8a-0c81-49ef-a079-7d4627944b0e_59a950f8b5a12ebe92767065bc0a7b6ddd843bd7_PCI_VEN_8086_DEV_A7A0.cab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408c162b-fd3d-42e0-b89d-64357487a90c_0110812791a66ac77ad2fb8adc336c7cb6885300.cab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Office365_installer_19530.20184B_currentx86.exe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Setup_147.0.1_x64.exe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VMware-tools-13.0.10-25056151-x64.exe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kIKI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 05:04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'B2I'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