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B2I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104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104 patches across 13 B2I endpoints. The deployment success rate was 92.3% (96 succeeded / 6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B2I's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Laptop-JonM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victoria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PONO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LAPTOP-CO9S1K5I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Jared-Friedman-PC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LPT-EREAD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Icaza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B2I-3CX-LOANER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KeithBrewer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MIKE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idea-PC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Parallels International GmbH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Lenovo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JAM Software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Brother Industries,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49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RASClient-x64-21.1.26542.msi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RASClient-x64-21.1.26548.msi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windows11.0-kb5079473-x64-25H2_win11.msu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5760e587-fbe9-44df-848d-66396345a29d_59301de6900bf78bf50d55983f6001d9f8d7e30f_PCI__VEN_8086_DEV_9BC4.cab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AcroRdrDCUpd2500121288.msp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6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Laptop-JonM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 09:58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00:44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KeithBrewer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 14:17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KeithBrewer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 09:59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Laptop-JonM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 09:04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 05:57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'B2I'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