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B2I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126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115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automated patch deployment installed 126 patches across 16 B2I endpoints. The deployment success rate was 91.3% (115 succeeded / 5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B2I's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 Patch Management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Laptop-JonM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LPT-CHIO2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B2I-3CX-LOANER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(3)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Jared-Friedman-PC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LAPTOP-CO9S1K5I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victoria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ColeB2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LPT-EREAD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idea-PC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Icaza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PONO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kIKI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KeithBrewer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LPT-DEREK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B2I-HQ-WINEDGE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16.7%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25.4%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28.6%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29.4%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39.7%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Parallels International GmbH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Advanced Micro Devices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QNAP Systems Inc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Lenovo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DisplayLink Corp.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Igor Pavlov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0.8%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58 unique patches installed this month, ranked by number of endpoints that received the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RASClient-x64-21.1.26688.msi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windows11.0-kb5086672-x64-25H2_win11.msu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408c162b-fd3d-42e0-b89d-64357487a90c_0110812791a66ac77ad2fb8adc336c7cb6885300.cab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AcrobatDCx64Upd2600121483.msp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AcroRdrDCUpd2600121483.msp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AcrobatDCx64Upd2600121431.msp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MicrosoftEdgeWebView2RuntimeInstallerX64_147.0.3912.72.exe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microsoftedgeenterprise_147.0.3912.72_x64.msi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AcroRdrDCUpd2600121431.msp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NVIDIA_app_v11.0.7.237.exe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a72ccec4-1802-4884-93bb-8803f62f0a47_4816711f625dfd96718f6c57d32376648436d032_PCI__VEN_8086_DEV_7D55.cab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5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B2I-3CX-LOANER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408c162b-fd3d-42e0-b89d-64357487a90c_0110812791a66ac77ad2fb8adc336c7cb6885300.cab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800000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 20:33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B2I-3CX-LOANER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 20:32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kIKI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04:35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idea-PC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RASClient-x64-21.1.26688.msi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 20:04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B2I-3CX-LOANER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QNAPQsyncClientWindows-6.0.0.2716.exe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 18:29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'B2I'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