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544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515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544 patches across 44 BWH endpoints. The deployment success rate was 94.7% (515 succeeded / 10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BWH's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BWWS021-PC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BWWS019-PC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BWWS016-PC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BWH-HQ-CONF-01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BWWS029-PC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BWWS017-PC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BW-ACCT02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BWWS030-PC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Loaner-03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BWWS022-PC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BWH-HQ-VONE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BWH-HQ-RDP-01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BWH-HQ-LT-26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BrandywineMyle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Persimmon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BWH-HQ-IIS-01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TABLET-AB7MOH3D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BWWS-Conf2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BWH-HQ-OPSPRB-01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Antibody Software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Citrix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Bluebeam Software Inc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Poly,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98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microsoftedgeenterprise_146.0.3856.62_x64.msi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a9b7a6e9-7638-40a6-8c79-c764ff606757_b5e2e080dfca4bce72169b9ca8f9bcf8a40fca8f.cab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10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BWH-HQ-LT-13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 10:40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BWWS022-PC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 10:30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BWH-HQ-DT-02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 10:22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 09:52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BWWS019-PC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 09:52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07:51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 12:51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 12:21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BrandywineMyle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 12:12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BWWS022-PC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 15:35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'BWH'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