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48 patches across 8 CBI endpoints. The deployment success rate was 95.8% (46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29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12:48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