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CBL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9 patches across 2 CBL endpoints. The deployment success rate was 88.9% (8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CBL's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MyTask200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02:00 – 05:00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CLBLenova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 01:30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'CBL'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