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16 patches across 2 CBL endpoints. The deployment success rate was 87.5% (14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3de915d8-3c4d-4341-a002-840a5d8be101_97f01c46b968a3faa7e4a342a4b1dfb88ed86bbe_PCI__VEN_8086_DEV_1A1D.cab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00:00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06:36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'CBL'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