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8 patches across 2 CBL endpoints. The deployment success rate was 87.5% (7 succeeded / 1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CLBLenova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NVIDIA_app_v11.0.7.237.exe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 09:00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'CBL'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