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7 patches across 3 CCC endpoints. The deployment success rate was 100.0% (7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'CCC'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