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automated patch deployment installed 18 patches across 3 CCC endpoints. The deployment success rate was 94.4% (17 succeeded / 0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CCC's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CCC-DC-SQL-02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CCC-DC-TSVDI-01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windows10.0-kb5078766-x64-2022.msu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windows10.0-kb5082314-x64-2022.msu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microsoftedgeenterprise_146.0.3856.59_x64.msi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SQLServer2019-KB5077469-x64.exe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patch installs failed this month. All deployments completed without an error code.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'CCC'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